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360" w:lineRule="auto"/>
        <w:ind w:left="-360"/>
        <w:jc w:val="center"/>
        <w:rPr>
          <w:rFonts w:hint="default" w:ascii="Garamond" w:hAnsi="Garamond" w:cs="Garamond"/>
          <w:b/>
          <w:sz w:val="28"/>
          <w:szCs w:val="28"/>
        </w:rPr>
      </w:pPr>
      <w:r>
        <w:rPr>
          <w:rFonts w:hint="default" w:ascii="Garamond" w:hAnsi="Garamond" w:cs="Garamond"/>
          <w:b/>
          <w:sz w:val="28"/>
          <w:szCs w:val="28"/>
        </w:rPr>
        <w:t>KONTESTASI PEMIKIRAN HUKUM ISLAM</w:t>
      </w:r>
    </w:p>
    <w:p>
      <w:pPr>
        <w:spacing w:beforeLines="0" w:afterLines="0" w:line="360" w:lineRule="auto"/>
        <w:ind w:left="-360"/>
        <w:jc w:val="center"/>
        <w:rPr>
          <w:rFonts w:hint="default" w:ascii="Garamond" w:hAnsi="Garamond" w:cs="Garamond"/>
          <w:b/>
          <w:sz w:val="28"/>
          <w:szCs w:val="28"/>
        </w:rPr>
      </w:pPr>
      <w:r>
        <w:rPr>
          <w:rFonts w:hint="default" w:ascii="Garamond" w:hAnsi="Garamond" w:cs="Garamond"/>
          <w:b/>
          <w:sz w:val="28"/>
          <w:szCs w:val="28"/>
        </w:rPr>
        <w:t>TENTANG FENOMENA HOMOSEKSUAL DI INDONESIA</w:t>
      </w:r>
    </w:p>
    <w:p>
      <w:pPr>
        <w:pStyle w:val="8"/>
        <w:spacing w:before="0" w:beforeAutospacing="0" w:after="0" w:afterAutospacing="0" w:line="240" w:lineRule="auto"/>
        <w:jc w:val="center"/>
        <w:rPr>
          <w:rFonts w:hint="default" w:ascii="Garamond" w:hAnsi="Garamond" w:cs="Garamond"/>
          <w:b/>
          <w:bCs/>
        </w:rPr>
      </w:pPr>
    </w:p>
    <w:p>
      <w:pPr>
        <w:spacing w:line="240" w:lineRule="auto"/>
        <w:ind w:firstLine="2421" w:firstLineChars="1100"/>
        <w:jc w:val="both"/>
        <w:rPr>
          <w:rFonts w:hint="default" w:ascii="Kozuka Mincho Pro L" w:hAnsi="Kozuka Mincho Pro L" w:eastAsia="Kozuka Mincho Pro L" w:cs="Angsana New"/>
          <w:b/>
          <w:bCs/>
          <w:color w:val="000000"/>
          <w:sz w:val="22"/>
          <w:szCs w:val="22"/>
          <w:lang w:val="en-US" w:bidi="th-TH"/>
        </w:rPr>
      </w:pPr>
      <w:r>
        <w:rPr>
          <w:rFonts w:hint="default" w:ascii="Kozuka Mincho Pro L" w:hAnsi="Kozuka Mincho Pro L" w:eastAsia="Kozuka Mincho Pro L" w:cs="Angsana New"/>
          <w:b/>
          <w:bCs/>
          <w:color w:val="000000"/>
          <w:sz w:val="22"/>
          <w:szCs w:val="22"/>
          <w:lang w:val="en-US" w:bidi="th-TH"/>
        </w:rPr>
        <w:t>Zulfa Hudiyani</w:t>
      </w:r>
    </w:p>
    <w:p>
      <w:pPr>
        <w:spacing w:line="240" w:lineRule="auto"/>
        <w:jc w:val="center"/>
        <w:rPr>
          <w:rFonts w:ascii="Garamond" w:hAnsi="Garamond"/>
          <w:sz w:val="22"/>
          <w:szCs w:val="22"/>
        </w:rPr>
      </w:pPr>
      <w:r>
        <w:rPr>
          <w:rFonts w:hint="default" w:ascii="Kozuka Mincho Pro EL" w:hAnsi="Kozuka Mincho Pro EL" w:eastAsia="Kozuka Mincho Pro EL" w:cs="Angsana New"/>
          <w:color w:val="000000"/>
          <w:sz w:val="22"/>
          <w:szCs w:val="22"/>
          <w:lang w:val="en-US" w:bidi="th-TH"/>
        </w:rPr>
        <w:t>Sekolah Tinggi Agama Islan Negeri Sultan Abdurrahman Kepulauan Riau</w:t>
      </w:r>
    </w:p>
    <w:p>
      <w:pPr>
        <w:numPr>
          <w:ilvl w:val="0"/>
          <w:numId w:val="1"/>
        </w:numPr>
        <w:spacing w:line="240" w:lineRule="auto"/>
        <w:jc w:val="center"/>
        <w:rPr>
          <w:rFonts w:ascii="Kozuka Mincho Pro L" w:hAnsi="Kozuka Mincho Pro L" w:eastAsia="Kozuka Mincho Pro L" w:cs="Angsana New"/>
          <w:color w:val="000000"/>
          <w:sz w:val="22"/>
          <w:szCs w:val="22"/>
          <w:lang w:bidi="th-TH"/>
        </w:rPr>
      </w:pPr>
      <w:r>
        <w:rPr>
          <w:rFonts w:ascii="Kozuka Mincho Pro L" w:hAnsi="Kozuka Mincho Pro L" w:eastAsia="Kozuka Mincho Pro L" w:cs="Angsana New"/>
          <w:color w:val="000000"/>
          <w:sz w:val="22"/>
          <w:szCs w:val="22"/>
          <w:lang w:bidi="th-TH"/>
        </w:rPr>
        <w:t xml:space="preserve">mail </w:t>
      </w:r>
      <w:r>
        <w:rPr>
          <w:rFonts w:hint="default" w:ascii="Kozuka Mincho Pro L" w:hAnsi="Kozuka Mincho Pro L" w:eastAsia="Kozuka Mincho Pro L" w:cs="Angsana New"/>
          <w:color w:val="000000"/>
          <w:sz w:val="22"/>
          <w:szCs w:val="22"/>
          <w:lang w:val="en-US" w:bidi="th-TH"/>
        </w:rPr>
        <w:t>:zulfa_hudiyani@stainkepri.ac.id</w:t>
      </w:r>
    </w:p>
    <w:p>
      <w:pPr>
        <w:spacing w:before="160" w:line="240" w:lineRule="auto"/>
        <w:jc w:val="center"/>
        <w:rPr>
          <w:rFonts w:hint="default" w:ascii="Kozuka Mincho Pro L" w:hAnsi="Kozuka Mincho Pro L" w:eastAsia="Kozuka Mincho Pro L" w:cs="Angsana New"/>
          <w:b/>
          <w:bCs/>
          <w:color w:val="000000"/>
          <w:sz w:val="22"/>
          <w:szCs w:val="22"/>
          <w:lang w:val="en-US" w:bidi="th-TH"/>
        </w:rPr>
      </w:pPr>
      <w:r>
        <w:rPr>
          <w:rFonts w:hint="default" w:ascii="Kozuka Mincho Pro L" w:hAnsi="Kozuka Mincho Pro L" w:eastAsia="Kozuka Mincho Pro L" w:cs="Angsana New"/>
          <w:b/>
          <w:bCs/>
          <w:color w:val="000000"/>
          <w:sz w:val="22"/>
          <w:szCs w:val="22"/>
          <w:lang w:val="en-US" w:bidi="th-TH"/>
        </w:rPr>
        <w:t>Athoillah Islamy</w:t>
      </w:r>
    </w:p>
    <w:p>
      <w:pPr>
        <w:spacing w:line="240" w:lineRule="auto"/>
        <w:jc w:val="center"/>
        <w:rPr>
          <w:rFonts w:hint="default" w:ascii="Kozuka Mincho Pro L" w:hAnsi="Kozuka Mincho Pro L" w:eastAsia="Kozuka Mincho Pro L" w:cs="Angsana New"/>
          <w:color w:val="000000"/>
          <w:sz w:val="22"/>
          <w:szCs w:val="22"/>
          <w:lang w:val="en-US" w:bidi="th-TH"/>
        </w:rPr>
      </w:pPr>
      <w:r>
        <w:rPr>
          <w:rFonts w:ascii="Kozuka Mincho Pro EL" w:hAnsi="Kozuka Mincho Pro EL" w:eastAsia="Kozuka Mincho Pro EL" w:cs="Angsana New"/>
          <w:color w:val="000000"/>
          <w:sz w:val="22"/>
          <w:szCs w:val="22"/>
          <w:lang w:bidi="th-TH"/>
        </w:rPr>
        <w:t>Institut</w:t>
      </w:r>
      <w:r>
        <w:rPr>
          <w:rFonts w:ascii="Kozuka Mincho Pro L" w:hAnsi="Kozuka Mincho Pro L" w:eastAsia="Kozuka Mincho Pro L" w:cs="Angsana New"/>
          <w:color w:val="000000"/>
          <w:sz w:val="22"/>
          <w:szCs w:val="22"/>
          <w:lang w:bidi="th-TH"/>
        </w:rPr>
        <w:t xml:space="preserve"> </w:t>
      </w:r>
      <w:r>
        <w:rPr>
          <w:rFonts w:hint="default" w:ascii="Kozuka Mincho Pro EL" w:hAnsi="Kozuka Mincho Pro EL" w:eastAsia="Kozuka Mincho Pro EL" w:cs="Angsana New"/>
          <w:color w:val="000000"/>
          <w:sz w:val="22"/>
          <w:szCs w:val="22"/>
          <w:lang w:val="en-US" w:bidi="th-TH"/>
        </w:rPr>
        <w:t xml:space="preserve">Agama </w:t>
      </w:r>
      <w:r>
        <w:rPr>
          <w:rFonts w:hint="default" w:ascii="Kozuka Mincho Pro L" w:hAnsi="Kozuka Mincho Pro L" w:eastAsia="Kozuka Mincho Pro L" w:cs="Angsana New"/>
          <w:color w:val="000000"/>
          <w:sz w:val="22"/>
          <w:szCs w:val="22"/>
          <w:lang w:val="en-US" w:bidi="th-TH"/>
        </w:rPr>
        <w:t>Islam Negeri Pekalongan</w:t>
      </w:r>
    </w:p>
    <w:p>
      <w:pPr>
        <w:numPr>
          <w:ilvl w:val="0"/>
          <w:numId w:val="0"/>
        </w:numPr>
        <w:spacing w:line="240" w:lineRule="auto"/>
        <w:ind w:leftChars="0"/>
        <w:jc w:val="center"/>
        <w:rPr>
          <w:rFonts w:hint="default" w:ascii="Kozuka Mincho Pro L" w:hAnsi="Kozuka Mincho Pro L" w:eastAsia="Kozuka Mincho Pro L" w:cs="Angsana New"/>
          <w:color w:val="000000"/>
          <w:sz w:val="22"/>
          <w:szCs w:val="22"/>
          <w:lang w:val="en-US" w:bidi="th-TH"/>
        </w:rPr>
      </w:pPr>
      <w:r>
        <w:rPr>
          <w:rFonts w:hint="default" w:ascii="Kozuka Mincho Pro L" w:hAnsi="Kozuka Mincho Pro L" w:eastAsia="Kozuka Mincho Pro L" w:cs="Angsana New"/>
          <w:color w:val="000000"/>
          <w:sz w:val="22"/>
          <w:szCs w:val="22"/>
          <w:lang w:val="en-US" w:bidi="th-TH"/>
        </w:rPr>
        <w:t>E-mail : athoillahislamy@yahoo.co.id</w:t>
      </w:r>
    </w:p>
    <w:p>
      <w:pPr>
        <w:numPr>
          <w:ilvl w:val="0"/>
          <w:numId w:val="0"/>
        </w:numPr>
        <w:spacing w:line="240" w:lineRule="auto"/>
        <w:ind w:leftChars="0"/>
        <w:jc w:val="center"/>
        <w:rPr>
          <w:rFonts w:hint="default" w:ascii="Kozuka Mincho Pro L" w:hAnsi="Kozuka Mincho Pro L" w:eastAsia="Kozuka Mincho Pro L" w:cs="Angsana New"/>
          <w:color w:val="000000"/>
          <w:sz w:val="22"/>
          <w:szCs w:val="22"/>
          <w:lang w:val="en-US" w:bidi="th-TH"/>
        </w:rPr>
      </w:pPr>
    </w:p>
    <w:p>
      <w:pPr>
        <w:spacing w:beforeLines="0" w:afterLines="0" w:line="240" w:lineRule="auto"/>
        <w:jc w:val="both"/>
        <w:rPr>
          <w:rFonts w:hint="default" w:ascii="Garamond" w:hAnsi="Garamond" w:cs="Garamond"/>
          <w:sz w:val="22"/>
          <w:szCs w:val="22"/>
        </w:rPr>
      </w:pPr>
      <w:r>
        <w:rPr>
          <w:rFonts w:hint="default" w:ascii="Garamond" w:hAnsi="Garamond" w:cs="Garamond"/>
          <w:b/>
          <w:bCs/>
          <w:sz w:val="22"/>
          <w:szCs w:val="22"/>
          <w:lang w:val="fi-FI"/>
        </w:rPr>
        <w:t>Abstrak</w:t>
      </w:r>
      <w:r>
        <w:rPr>
          <w:rFonts w:hint="default" w:ascii="Garamond" w:hAnsi="Garamond" w:cs="Garamond"/>
          <w:sz w:val="22"/>
          <w:szCs w:val="22"/>
          <w:lang w:val="id-ID"/>
        </w:rPr>
        <w:t>:</w:t>
      </w:r>
      <w:r>
        <w:rPr>
          <w:rFonts w:hint="default" w:ascii="Garamond" w:hAnsi="Garamond" w:cs="Garamond"/>
          <w:sz w:val="22"/>
          <w:szCs w:val="22"/>
          <w:lang w:val="en-US"/>
        </w:rPr>
        <w:t xml:space="preserve">. </w:t>
      </w:r>
      <w:r>
        <w:rPr>
          <w:rFonts w:hint="default" w:ascii="Garamond" w:hAnsi="Garamond" w:cs="Garamond"/>
          <w:sz w:val="22"/>
          <w:szCs w:val="22"/>
        </w:rPr>
        <w:t xml:space="preserve">Fenomena </w:t>
      </w:r>
      <w:r>
        <w:rPr>
          <w:rFonts w:hint="default" w:ascii="Garamond" w:hAnsi="Garamond" w:cs="Garamond"/>
          <w:sz w:val="22"/>
          <w:szCs w:val="22"/>
          <w:lang w:val="en-US"/>
        </w:rPr>
        <w:t xml:space="preserve">homoseksual </w:t>
      </w:r>
      <w:r>
        <w:rPr>
          <w:rFonts w:hint="default" w:ascii="Garamond" w:hAnsi="Garamond" w:cs="Garamond"/>
          <w:sz w:val="22"/>
          <w:szCs w:val="22"/>
        </w:rPr>
        <w:t xml:space="preserve">di Indonesia menuai resitensi keras dari umat beragama. Salah satunya dari umat Islam, karena memandang kaum </w:t>
      </w:r>
      <w:r>
        <w:rPr>
          <w:rFonts w:hint="default" w:ascii="Garamond" w:hAnsi="Garamond" w:cs="Garamond"/>
          <w:sz w:val="22"/>
          <w:szCs w:val="22"/>
          <w:lang w:val="en-US"/>
        </w:rPr>
        <w:t xml:space="preserve"> kaum homoseksual melanggar</w:t>
      </w:r>
      <w:r>
        <w:rPr>
          <w:rFonts w:hint="default" w:ascii="Garamond" w:hAnsi="Garamond" w:cs="Garamond"/>
          <w:sz w:val="22"/>
          <w:szCs w:val="22"/>
        </w:rPr>
        <w:t xml:space="preserve"> </w:t>
      </w:r>
      <w:r>
        <w:rPr>
          <w:rFonts w:hint="default" w:ascii="Garamond" w:hAnsi="Garamond" w:cs="Garamond"/>
          <w:sz w:val="22"/>
          <w:szCs w:val="22"/>
          <w:lang w:val="en-US"/>
        </w:rPr>
        <w:t xml:space="preserve">norma </w:t>
      </w:r>
      <w:r>
        <w:rPr>
          <w:rFonts w:hint="default" w:ascii="Garamond" w:hAnsi="Garamond" w:cs="Garamond"/>
          <w:sz w:val="22"/>
          <w:szCs w:val="22"/>
        </w:rPr>
        <w:t xml:space="preserve">hukum Islam. Namun </w:t>
      </w:r>
      <w:r>
        <w:rPr>
          <w:rFonts w:hint="default" w:ascii="Garamond" w:hAnsi="Garamond" w:cs="Garamond"/>
          <w:sz w:val="22"/>
          <w:szCs w:val="22"/>
          <w:lang w:val="en-US"/>
        </w:rPr>
        <w:t xml:space="preserve">demikian </w:t>
      </w:r>
      <w:r>
        <w:rPr>
          <w:rFonts w:hint="default" w:ascii="Garamond" w:hAnsi="Garamond" w:cs="Garamond"/>
          <w:sz w:val="22"/>
          <w:szCs w:val="22"/>
        </w:rPr>
        <w:t>terdapat dualisme pemikiran hukum Islam di kalangan intelektual muslim</w:t>
      </w:r>
      <w:r>
        <w:rPr>
          <w:rFonts w:hint="default" w:ascii="Garamond" w:hAnsi="Garamond" w:cs="Garamond"/>
          <w:sz w:val="22"/>
          <w:szCs w:val="22"/>
          <w:lang w:val="en-US"/>
        </w:rPr>
        <w:t xml:space="preserve"> </w:t>
      </w:r>
      <w:r>
        <w:rPr>
          <w:rFonts w:hint="default" w:ascii="Garamond" w:hAnsi="Garamond" w:cs="Garamond"/>
          <w:sz w:val="22"/>
          <w:szCs w:val="22"/>
        </w:rPr>
        <w:t>Indonesia dalam merespons fenomena homoseskual tersebut. Penelitian ini bermaksud melakukan analisis komparatif atas distingsi pemikiran</w:t>
      </w:r>
      <w:r>
        <w:rPr>
          <w:rFonts w:hint="default" w:ascii="Garamond" w:hAnsi="Garamond" w:cs="Garamond"/>
          <w:sz w:val="22"/>
          <w:szCs w:val="22"/>
          <w:lang w:val="en-US"/>
        </w:rPr>
        <w:t xml:space="preserve"> hukum Islam</w:t>
      </w:r>
      <w:r>
        <w:rPr>
          <w:rFonts w:hint="default" w:ascii="Garamond" w:hAnsi="Garamond" w:cs="Garamond"/>
          <w:sz w:val="22"/>
          <w:szCs w:val="22"/>
        </w:rPr>
        <w:t xml:space="preserve"> Musdah Mulia dan Huza</w:t>
      </w:r>
      <w:r>
        <w:rPr>
          <w:rFonts w:hint="default" w:ascii="Garamond" w:hAnsi="Garamond" w:cs="Garamond"/>
          <w:sz w:val="22"/>
          <w:szCs w:val="22"/>
          <w:lang w:val="en-US"/>
        </w:rPr>
        <w:t>e</w:t>
      </w:r>
      <w:r>
        <w:rPr>
          <w:rFonts w:hint="default" w:ascii="Garamond" w:hAnsi="Garamond" w:cs="Garamond"/>
          <w:sz w:val="22"/>
          <w:szCs w:val="22"/>
        </w:rPr>
        <w:t>mah Tahido Yanggo te</w:t>
      </w:r>
      <w:r>
        <w:rPr>
          <w:rFonts w:hint="default" w:ascii="Garamond" w:hAnsi="Garamond" w:cs="Garamond"/>
          <w:sz w:val="22"/>
          <w:szCs w:val="22"/>
          <w:lang w:val="en-US"/>
        </w:rPr>
        <w:t>ntang</w:t>
      </w:r>
      <w:r>
        <w:rPr>
          <w:rFonts w:hint="default" w:ascii="Garamond" w:hAnsi="Garamond" w:cs="Garamond"/>
          <w:sz w:val="22"/>
          <w:szCs w:val="22"/>
        </w:rPr>
        <w:t xml:space="preserve"> </w:t>
      </w:r>
      <w:r>
        <w:rPr>
          <w:rFonts w:hint="default" w:ascii="Garamond" w:hAnsi="Garamond" w:cs="Garamond"/>
          <w:sz w:val="22"/>
          <w:szCs w:val="22"/>
          <w:lang w:val="en-US"/>
        </w:rPr>
        <w:t>eksistensi kaum</w:t>
      </w:r>
      <w:r>
        <w:rPr>
          <w:rFonts w:hint="default" w:ascii="Garamond" w:hAnsi="Garamond" w:cs="Garamond"/>
          <w:sz w:val="22"/>
          <w:szCs w:val="22"/>
        </w:rPr>
        <w:t xml:space="preserve"> homoseksual. Penelitian hukum Islam normatif-filosofis ini menggunakan kaidah fikih sebagai teori analisis. Hasil penelitian menunjukan pemikiran Musdah yang cenderung mengabsahkan homoseksual sebagai hal kodrati selama tidak melakukan sodomi ber</w:t>
      </w:r>
      <w:r>
        <w:rPr>
          <w:rFonts w:hint="default" w:ascii="Garamond" w:hAnsi="Garamond" w:cs="Garamond"/>
          <w:sz w:val="22"/>
          <w:szCs w:val="22"/>
          <w:lang w:val="en-US"/>
        </w:rPr>
        <w:t>pijak pada</w:t>
      </w:r>
      <w:r>
        <w:rPr>
          <w:rFonts w:hint="default" w:ascii="Garamond" w:hAnsi="Garamond" w:cs="Garamond"/>
          <w:sz w:val="22"/>
          <w:szCs w:val="22"/>
        </w:rPr>
        <w:t xml:space="preserve"> epistemologi hukum Islam parsial, yakni tidak mempertimbangkan kompleksitas aspek kemudharatan</w:t>
      </w:r>
      <w:r>
        <w:rPr>
          <w:rFonts w:hint="default" w:ascii="Garamond" w:hAnsi="Garamond" w:cs="Garamond"/>
          <w:sz w:val="22"/>
          <w:szCs w:val="22"/>
          <w:lang w:val="en-US"/>
        </w:rPr>
        <w:t xml:space="preserve"> (bahaya)</w:t>
      </w:r>
      <w:r>
        <w:rPr>
          <w:rFonts w:hint="default" w:ascii="Garamond" w:hAnsi="Garamond" w:cs="Garamond"/>
          <w:sz w:val="22"/>
          <w:szCs w:val="22"/>
        </w:rPr>
        <w:t xml:space="preserve">, baik dari perspektif agama, sosial maupun medis. </w:t>
      </w:r>
      <w:r>
        <w:rPr>
          <w:rFonts w:hint="default" w:ascii="Garamond" w:hAnsi="Garamond" w:cs="Garamond"/>
          <w:sz w:val="22"/>
          <w:szCs w:val="22"/>
          <w:lang w:val="en-US"/>
        </w:rPr>
        <w:t>Pemikiran</w:t>
      </w:r>
      <w:r>
        <w:rPr>
          <w:rFonts w:hint="default" w:ascii="Garamond" w:hAnsi="Garamond" w:cs="Garamond"/>
          <w:sz w:val="22"/>
          <w:szCs w:val="22"/>
        </w:rPr>
        <w:t xml:space="preserve"> demikian bertentangan dengan kaidah fikih berupa </w:t>
      </w:r>
      <w:r>
        <w:rPr>
          <w:rFonts w:hint="default" w:ascii="Garamond" w:hAnsi="Garamond" w:cs="Garamond"/>
          <w:i/>
          <w:sz w:val="22"/>
          <w:szCs w:val="22"/>
        </w:rPr>
        <w:t>al-dhororu yuzal,</w:t>
      </w:r>
      <w:r>
        <w:rPr>
          <w:rFonts w:hint="default" w:ascii="Garamond" w:hAnsi="Garamond" w:cs="Garamond"/>
          <w:sz w:val="22"/>
          <w:szCs w:val="22"/>
        </w:rPr>
        <w:t xml:space="preserve"> yakni kemudharatan harus dihilangkan. Sedangkan pemikiran Huz</w:t>
      </w:r>
      <w:r>
        <w:rPr>
          <w:rFonts w:hint="default" w:ascii="Garamond" w:hAnsi="Garamond" w:cs="Garamond"/>
          <w:sz w:val="22"/>
          <w:szCs w:val="22"/>
          <w:lang w:val="en-US"/>
        </w:rPr>
        <w:t>ae</w:t>
      </w:r>
      <w:r>
        <w:rPr>
          <w:rFonts w:hint="default" w:ascii="Garamond" w:hAnsi="Garamond" w:cs="Garamond"/>
          <w:sz w:val="22"/>
          <w:szCs w:val="22"/>
        </w:rPr>
        <w:t>mah yang me</w:t>
      </w:r>
      <w:r>
        <w:rPr>
          <w:rFonts w:hint="default" w:ascii="Garamond" w:hAnsi="Garamond" w:cs="Garamond"/>
          <w:sz w:val="22"/>
          <w:szCs w:val="22"/>
          <w:lang w:val="en-US"/>
        </w:rPr>
        <w:t>n</w:t>
      </w:r>
      <w:r>
        <w:rPr>
          <w:rFonts w:hint="default" w:ascii="Garamond" w:hAnsi="Garamond" w:cs="Garamond"/>
          <w:sz w:val="22"/>
          <w:szCs w:val="22"/>
        </w:rPr>
        <w:t xml:space="preserve">gharamkan homoseksual berpijak </w:t>
      </w:r>
      <w:r>
        <w:rPr>
          <w:rFonts w:hint="default" w:ascii="Garamond" w:hAnsi="Garamond" w:cs="Garamond"/>
          <w:sz w:val="22"/>
          <w:szCs w:val="22"/>
          <w:lang w:val="en-US"/>
        </w:rPr>
        <w:t xml:space="preserve">pada </w:t>
      </w:r>
      <w:r>
        <w:rPr>
          <w:rFonts w:hint="default" w:ascii="Garamond" w:hAnsi="Garamond" w:cs="Garamond"/>
          <w:sz w:val="22"/>
          <w:szCs w:val="22"/>
        </w:rPr>
        <w:t xml:space="preserve">epistemologi hukum Islam yang mempertimbangkan kemudharatan dari berbagai perspektif, baik agama, sosial, medis bahkan konstitusi dan ideologi negara Indonesia. </w:t>
      </w:r>
      <w:r>
        <w:rPr>
          <w:rFonts w:hint="default" w:ascii="Garamond" w:hAnsi="Garamond" w:cs="Garamond"/>
          <w:sz w:val="22"/>
          <w:szCs w:val="22"/>
          <w:lang w:val="en-US"/>
        </w:rPr>
        <w:t>P</w:t>
      </w:r>
      <w:r>
        <w:rPr>
          <w:rFonts w:hint="default" w:ascii="Garamond" w:hAnsi="Garamond" w:cs="Garamond"/>
          <w:sz w:val="22"/>
          <w:szCs w:val="22"/>
        </w:rPr>
        <w:t>emikiran Huza</w:t>
      </w:r>
      <w:r>
        <w:rPr>
          <w:rFonts w:hint="default" w:ascii="Garamond" w:hAnsi="Garamond" w:cs="Garamond"/>
          <w:sz w:val="22"/>
          <w:szCs w:val="22"/>
          <w:lang w:val="en-US"/>
        </w:rPr>
        <w:t>e</w:t>
      </w:r>
      <w:r>
        <w:rPr>
          <w:rFonts w:hint="default" w:ascii="Garamond" w:hAnsi="Garamond" w:cs="Garamond"/>
          <w:sz w:val="22"/>
          <w:szCs w:val="22"/>
        </w:rPr>
        <w:t xml:space="preserve">mah ini sejalan dengan kaidah fikih prefentif </w:t>
      </w:r>
      <w:r>
        <w:rPr>
          <w:rFonts w:hint="default" w:ascii="Garamond" w:hAnsi="Garamond" w:cs="Garamond"/>
          <w:sz w:val="22"/>
          <w:szCs w:val="22"/>
          <w:lang w:val="en-US"/>
        </w:rPr>
        <w:t xml:space="preserve">yang </w:t>
      </w:r>
      <w:r>
        <w:rPr>
          <w:rFonts w:hint="default" w:ascii="Garamond" w:hAnsi="Garamond" w:cs="Garamond"/>
          <w:sz w:val="22"/>
          <w:szCs w:val="22"/>
        </w:rPr>
        <w:t xml:space="preserve">berbunyi </w:t>
      </w:r>
      <w:r>
        <w:rPr>
          <w:rFonts w:hint="default" w:ascii="Garamond" w:hAnsi="Garamond" w:cs="Garamond"/>
          <w:i/>
          <w:sz w:val="22"/>
          <w:szCs w:val="22"/>
        </w:rPr>
        <w:t>al-dhororu yuzaalu</w:t>
      </w:r>
      <w:r>
        <w:rPr>
          <w:rFonts w:hint="default" w:ascii="Garamond" w:hAnsi="Garamond" w:cs="Garamond"/>
          <w:sz w:val="22"/>
          <w:szCs w:val="22"/>
        </w:rPr>
        <w:t xml:space="preserve">, dan kaidah fikih prioritas yang berbunyi </w:t>
      </w:r>
      <w:r>
        <w:rPr>
          <w:rFonts w:hint="default" w:ascii="Garamond" w:hAnsi="Garamond" w:cs="Garamond"/>
          <w:i/>
          <w:sz w:val="22"/>
          <w:szCs w:val="22"/>
        </w:rPr>
        <w:t xml:space="preserve">al-maslahat al-ammah muqoddamatun ala al-maslahat al-khossoh </w:t>
      </w:r>
      <w:r>
        <w:rPr>
          <w:rFonts w:hint="default" w:ascii="Garamond" w:hAnsi="Garamond" w:cs="Garamond"/>
          <w:i w:val="0"/>
          <w:iCs/>
          <w:sz w:val="22"/>
          <w:szCs w:val="22"/>
        </w:rPr>
        <w:t>(</w:t>
      </w:r>
      <w:r>
        <w:rPr>
          <w:rFonts w:hint="default" w:ascii="Garamond" w:hAnsi="Garamond" w:cs="Garamond"/>
          <w:sz w:val="22"/>
          <w:szCs w:val="22"/>
        </w:rPr>
        <w:t>kepentingan publik harus diprioritaskan dari kepentingan individual).</w:t>
      </w:r>
      <w:r>
        <w:rPr>
          <w:rFonts w:hint="default" w:ascii="Garamond" w:hAnsi="Garamond" w:cs="Garamond"/>
          <w:sz w:val="22"/>
          <w:szCs w:val="22"/>
          <w:lang w:val="en-US"/>
        </w:rPr>
        <w:t xml:space="preserve"> </w:t>
      </w:r>
      <w:r>
        <w:rPr>
          <w:rFonts w:hint="default" w:ascii="Garamond" w:hAnsi="Garamond" w:cs="Garamond"/>
          <w:sz w:val="24"/>
          <w:szCs w:val="24"/>
        </w:rPr>
        <w:t>Implikasi teoritik penelitian ini menunjukan basis paradigmatik atas hukum Islam yang mengabsahkan homoseksual cenderung bercorak pragmatisme individualis. Sedangkan basis paradigmatik atas hukum Islam yang melarang keras homoseksual bercorak prefentif-sosialis.</w:t>
      </w:r>
    </w:p>
    <w:p>
      <w:pPr>
        <w:pStyle w:val="8"/>
        <w:spacing w:before="0" w:beforeAutospacing="0" w:after="0" w:afterAutospacing="0" w:line="240" w:lineRule="auto"/>
        <w:jc w:val="both"/>
        <w:rPr>
          <w:rFonts w:hint="default" w:ascii="Garamond" w:hAnsi="Garamond" w:cs="Garamond"/>
          <w:sz w:val="22"/>
          <w:szCs w:val="22"/>
          <w:lang w:val="id-ID"/>
        </w:rPr>
      </w:pPr>
    </w:p>
    <w:p>
      <w:pPr>
        <w:spacing w:beforeLines="0" w:afterLines="0" w:line="240" w:lineRule="auto"/>
        <w:jc w:val="both"/>
        <w:rPr>
          <w:rFonts w:hint="default" w:ascii="Garamond" w:hAnsi="Garamond" w:cs="Garamond"/>
          <w:sz w:val="22"/>
          <w:szCs w:val="22"/>
        </w:rPr>
      </w:pPr>
      <w:r>
        <w:rPr>
          <w:rFonts w:hint="default" w:ascii="Garamond" w:hAnsi="Garamond" w:cs="Garamond"/>
          <w:b/>
          <w:bCs/>
          <w:color w:val="000000"/>
          <w:sz w:val="22"/>
          <w:szCs w:val="22"/>
          <w:lang w:val="id-ID" w:bidi="th-TH"/>
        </w:rPr>
        <w:t xml:space="preserve">Kata Kunci : </w:t>
      </w:r>
      <w:r>
        <w:rPr>
          <w:rFonts w:hint="default" w:ascii="Garamond" w:hAnsi="Garamond" w:cs="Garamond"/>
          <w:b/>
          <w:sz w:val="22"/>
          <w:szCs w:val="22"/>
        </w:rPr>
        <w:t xml:space="preserve"> </w:t>
      </w:r>
      <w:r>
        <w:rPr>
          <w:rFonts w:hint="default" w:ascii="Garamond" w:hAnsi="Garamond" w:cs="Garamond"/>
          <w:sz w:val="22"/>
          <w:szCs w:val="22"/>
        </w:rPr>
        <w:t>Pro-</w:t>
      </w:r>
      <w:r>
        <w:rPr>
          <w:rFonts w:hint="default" w:ascii="Garamond" w:hAnsi="Garamond" w:cs="Garamond"/>
          <w:sz w:val="24"/>
          <w:szCs w:val="24"/>
        </w:rPr>
        <w:t>kontra</w:t>
      </w:r>
      <w:r>
        <w:rPr>
          <w:rFonts w:hint="default" w:ascii="Garamond" w:hAnsi="Garamond" w:cs="Garamond"/>
          <w:sz w:val="22"/>
          <w:szCs w:val="22"/>
        </w:rPr>
        <w:t xml:space="preserve">, </w:t>
      </w:r>
      <w:r>
        <w:rPr>
          <w:rFonts w:hint="default" w:ascii="Garamond" w:hAnsi="Garamond" w:cs="Garamond"/>
          <w:sz w:val="24"/>
          <w:szCs w:val="24"/>
        </w:rPr>
        <w:t xml:space="preserve">pemikiran </w:t>
      </w:r>
      <w:r>
        <w:rPr>
          <w:rFonts w:hint="default" w:ascii="Garamond" w:hAnsi="Garamond" w:cs="Garamond"/>
          <w:sz w:val="22"/>
          <w:szCs w:val="22"/>
        </w:rPr>
        <w:t xml:space="preserve">hukum Islam, </w:t>
      </w:r>
      <w:r>
        <w:rPr>
          <w:rFonts w:hint="default" w:ascii="Garamond" w:hAnsi="Garamond" w:cs="Garamond"/>
          <w:sz w:val="22"/>
          <w:szCs w:val="22"/>
          <w:lang w:val="en-US"/>
        </w:rPr>
        <w:t>homoseksual</w:t>
      </w:r>
      <w:r>
        <w:rPr>
          <w:rFonts w:hint="default" w:ascii="Garamond" w:hAnsi="Garamond" w:cs="Garamond"/>
          <w:sz w:val="22"/>
          <w:szCs w:val="22"/>
        </w:rPr>
        <w:t>, Mudah Mulia, Huza</w:t>
      </w:r>
      <w:r>
        <w:rPr>
          <w:rFonts w:hint="default" w:ascii="Garamond" w:hAnsi="Garamond" w:cs="Garamond"/>
          <w:sz w:val="22"/>
          <w:szCs w:val="22"/>
          <w:lang w:val="en-US"/>
        </w:rPr>
        <w:t>e</w:t>
      </w:r>
      <w:r>
        <w:rPr>
          <w:rFonts w:hint="default" w:ascii="Garamond" w:hAnsi="Garamond" w:cs="Garamond"/>
          <w:sz w:val="22"/>
          <w:szCs w:val="22"/>
        </w:rPr>
        <w:t>mah Tahido Yanggo</w:t>
      </w:r>
    </w:p>
    <w:p>
      <w:pPr>
        <w:spacing w:line="240" w:lineRule="auto"/>
        <w:ind w:right="662"/>
        <w:jc w:val="both"/>
        <w:rPr>
          <w:rFonts w:hint="default" w:ascii="Garamond" w:hAnsi="Garamond" w:cs="Garamond"/>
          <w:sz w:val="22"/>
          <w:szCs w:val="22"/>
          <w:lang w:val="id-ID"/>
        </w:rPr>
      </w:pPr>
    </w:p>
    <w:p>
      <w:pPr>
        <w:spacing w:beforeLines="0" w:afterLines="0" w:line="360" w:lineRule="auto"/>
        <w:jc w:val="both"/>
        <w:rPr>
          <w:rFonts w:hint="default" w:ascii="Garamond" w:hAnsi="Garamond" w:cs="Garamond"/>
          <w:b/>
          <w:sz w:val="24"/>
          <w:szCs w:val="24"/>
        </w:rPr>
      </w:pPr>
      <w:r>
        <w:rPr>
          <w:rFonts w:hint="default" w:ascii="Garamond" w:hAnsi="Garamond" w:cs="Garamond"/>
          <w:b/>
          <w:sz w:val="24"/>
          <w:szCs w:val="24"/>
        </w:rPr>
        <w:t>Pendahuluan</w:t>
      </w:r>
    </w:p>
    <w:p>
      <w:pPr>
        <w:spacing w:beforeLines="0" w:afterLines="0" w:line="360" w:lineRule="auto"/>
        <w:ind w:firstLine="720"/>
        <w:jc w:val="both"/>
        <w:rPr>
          <w:rFonts w:hint="default" w:ascii="Garamond" w:hAnsi="Garamond" w:cs="Garamond"/>
          <w:sz w:val="24"/>
          <w:szCs w:val="24"/>
        </w:rPr>
      </w:pPr>
      <w:r>
        <w:rPr>
          <w:rFonts w:hint="default" w:ascii="Garamond" w:hAnsi="Garamond" w:cs="Garamond"/>
          <w:sz w:val="24"/>
          <w:szCs w:val="24"/>
        </w:rPr>
        <w:t xml:space="preserve"> Resistensi terhadap fenomena </w:t>
      </w:r>
      <w:r>
        <w:rPr>
          <w:rFonts w:hint="default" w:ascii="Garamond" w:hAnsi="Garamond" w:cs="Garamond"/>
          <w:sz w:val="24"/>
          <w:szCs w:val="24"/>
          <w:lang w:val="en-US"/>
        </w:rPr>
        <w:t>homoseksual</w:t>
      </w:r>
      <w:r>
        <w:rPr>
          <w:rFonts w:hint="default" w:ascii="Garamond" w:hAnsi="Garamond" w:cs="Garamond"/>
          <w:sz w:val="24"/>
          <w:szCs w:val="24"/>
        </w:rPr>
        <w:t xml:space="preserve"> di Indon</w:t>
      </w:r>
      <w:r>
        <w:rPr>
          <w:rFonts w:hint="default" w:ascii="Garamond" w:hAnsi="Garamond" w:cs="Garamond"/>
          <w:sz w:val="24"/>
          <w:szCs w:val="24"/>
          <w:lang w:val="en-US"/>
        </w:rPr>
        <w:t>e</w:t>
      </w:r>
      <w:r>
        <w:rPr>
          <w:rFonts w:hint="default" w:ascii="Garamond" w:hAnsi="Garamond" w:cs="Garamond"/>
          <w:sz w:val="24"/>
          <w:szCs w:val="24"/>
        </w:rPr>
        <w:t>sia berdampak pada</w:t>
      </w:r>
      <w:r>
        <w:rPr>
          <w:rFonts w:hint="default" w:ascii="Garamond" w:hAnsi="Garamond" w:eastAsia="SimSun" w:cs="Garamond"/>
          <w:color w:val="000000"/>
          <w:sz w:val="24"/>
          <w:szCs w:val="24"/>
          <w:lang w:eastAsia="zh-CN" w:bidi="ar"/>
        </w:rPr>
        <w:t xml:space="preserve"> pelbagai bentuk diskriminasi bagi mereka </w:t>
      </w:r>
      <w:r>
        <w:rPr>
          <w:rFonts w:hint="default" w:ascii="Garamond" w:hAnsi="Garamond" w:eastAsia="SimSun" w:cs="Garamond"/>
          <w:color w:val="000000"/>
          <w:sz w:val="24"/>
          <w:szCs w:val="24"/>
          <w:lang w:val="en-US" w:eastAsia="zh-CN" w:bidi="ar"/>
        </w:rPr>
        <w:t xml:space="preserve">dalam </w:t>
      </w:r>
      <w:r>
        <w:rPr>
          <w:rFonts w:hint="default" w:ascii="Garamond" w:hAnsi="Garamond" w:eastAsia="SimSun" w:cs="Garamond"/>
          <w:color w:val="000000"/>
          <w:sz w:val="24"/>
          <w:szCs w:val="24"/>
          <w:lang w:eastAsia="zh-CN" w:bidi="ar"/>
        </w:rPr>
        <w:t>kehidupan sosial masyarakat.</w:t>
      </w:r>
      <w:r>
        <w:rPr>
          <w:rFonts w:hint="default" w:ascii="Garamond" w:hAnsi="Garamond" w:eastAsia="SimSun" w:cs="Garamond"/>
          <w:color w:val="000000"/>
          <w:sz w:val="24"/>
          <w:szCs w:val="24"/>
          <w:vertAlign w:val="superscript"/>
          <w:lang w:eastAsia="zh-CN" w:bidi="ar"/>
        </w:rPr>
        <w:footnoteReference w:id="0"/>
      </w:r>
      <w:r>
        <w:rPr>
          <w:rFonts w:hint="default" w:ascii="Garamond" w:hAnsi="Garamond" w:eastAsia="SimSun" w:cs="Garamond"/>
          <w:color w:val="000000"/>
          <w:sz w:val="24"/>
          <w:szCs w:val="24"/>
          <w:lang w:eastAsia="zh-CN" w:bidi="ar"/>
        </w:rPr>
        <w:t xml:space="preserve"> </w:t>
      </w:r>
      <w:r>
        <w:rPr>
          <w:rFonts w:hint="default" w:ascii="Garamond" w:hAnsi="Garamond" w:cs="Garamond"/>
          <w:sz w:val="24"/>
          <w:szCs w:val="24"/>
        </w:rPr>
        <w:t>Penolakan keras</w:t>
      </w:r>
      <w:r>
        <w:rPr>
          <w:rFonts w:hint="default" w:ascii="Garamond" w:hAnsi="Garamond" w:cs="Garamond"/>
          <w:sz w:val="24"/>
          <w:szCs w:val="24"/>
          <w:lang w:val="en-US"/>
        </w:rPr>
        <w:t xml:space="preserve"> atas eksistensi kaum homoseksual</w:t>
      </w:r>
      <w:r>
        <w:rPr>
          <w:rFonts w:hint="default" w:ascii="Garamond" w:hAnsi="Garamond" w:cs="Garamond"/>
          <w:sz w:val="24"/>
          <w:szCs w:val="24"/>
        </w:rPr>
        <w:t xml:space="preserve"> </w:t>
      </w:r>
      <w:r>
        <w:rPr>
          <w:rFonts w:hint="default" w:ascii="Garamond" w:hAnsi="Garamond" w:cs="Garamond"/>
          <w:sz w:val="24"/>
          <w:szCs w:val="24"/>
          <w:lang w:val="en-US"/>
        </w:rPr>
        <w:t>tersebut datang</w:t>
      </w:r>
      <w:r>
        <w:rPr>
          <w:rFonts w:hint="default" w:ascii="Garamond" w:hAnsi="Garamond" w:cs="Garamond"/>
          <w:sz w:val="24"/>
          <w:szCs w:val="24"/>
        </w:rPr>
        <w:t xml:space="preserve"> dari lintas umat beragama, terutama di kalangan umat Islam.</w:t>
      </w:r>
      <w:r>
        <w:rPr>
          <w:rFonts w:hint="default" w:ascii="Garamond" w:hAnsi="Garamond" w:cs="Garamond"/>
          <w:sz w:val="24"/>
          <w:szCs w:val="24"/>
          <w:vertAlign w:val="superscript"/>
        </w:rPr>
        <w:footnoteReference w:id="1"/>
      </w:r>
      <w:r>
        <w:rPr>
          <w:rFonts w:hint="default" w:ascii="Garamond" w:hAnsi="Garamond" w:cs="Garamond"/>
          <w:sz w:val="24"/>
          <w:szCs w:val="24"/>
          <w:lang w:val="id-ID"/>
        </w:rPr>
        <w:t xml:space="preserve"> </w:t>
      </w:r>
      <w:r>
        <w:rPr>
          <w:rFonts w:hint="default" w:ascii="Garamond" w:hAnsi="Garamond" w:eastAsia="SimSun" w:cs="Garamond"/>
          <w:color w:val="000000"/>
          <w:sz w:val="24"/>
          <w:szCs w:val="24"/>
          <w:lang w:eastAsia="zh-CN" w:bidi="ar"/>
        </w:rPr>
        <w:t xml:space="preserve">Namun </w:t>
      </w:r>
      <w:r>
        <w:rPr>
          <w:rFonts w:hint="default" w:ascii="Garamond" w:hAnsi="Garamond" w:eastAsia="SimSun" w:cs="Garamond"/>
          <w:color w:val="000000"/>
          <w:sz w:val="24"/>
          <w:szCs w:val="24"/>
          <w:lang w:val="en-US" w:eastAsia="zh-CN" w:bidi="ar"/>
        </w:rPr>
        <w:t xml:space="preserve">demikian pada ranah praksisnya, </w:t>
      </w:r>
      <w:r>
        <w:rPr>
          <w:rFonts w:hint="default" w:ascii="Garamond" w:hAnsi="Garamond" w:eastAsia="SimSun" w:cs="Garamond"/>
          <w:color w:val="000000"/>
          <w:sz w:val="24"/>
          <w:szCs w:val="24"/>
          <w:lang w:eastAsia="zh-CN" w:bidi="ar"/>
        </w:rPr>
        <w:t xml:space="preserve">masih </w:t>
      </w:r>
      <w:r>
        <w:rPr>
          <w:rFonts w:hint="default" w:ascii="Garamond" w:hAnsi="Garamond" w:cs="Garamond"/>
          <w:sz w:val="24"/>
          <w:szCs w:val="24"/>
        </w:rPr>
        <w:t xml:space="preserve">terdapat beberapa intelektual muslim di Indonesia yang cenderung bersikap terbuka, menerima, menghargai, bahkan mengadvokasi eksistesi kaum homoseksual tersebut. Musdah Mulia misalnya. Ia menuturkan </w:t>
      </w:r>
      <w:r>
        <w:rPr>
          <w:rFonts w:hint="default" w:ascii="Garamond" w:hAnsi="Garamond" w:cs="Garamond"/>
          <w:sz w:val="24"/>
          <w:szCs w:val="24"/>
          <w:lang w:val="id-ID"/>
        </w:rPr>
        <w:t>homoseksual</w:t>
      </w:r>
      <w:r>
        <w:rPr>
          <w:rFonts w:hint="default" w:ascii="Garamond" w:hAnsi="Garamond" w:cs="Garamond"/>
          <w:sz w:val="24"/>
          <w:szCs w:val="24"/>
        </w:rPr>
        <w:t xml:space="preserve"> tidak masuk dalam kategori</w:t>
      </w:r>
      <w:r>
        <w:rPr>
          <w:rFonts w:hint="default" w:ascii="Garamond" w:hAnsi="Garamond" w:cs="Garamond"/>
          <w:sz w:val="24"/>
          <w:szCs w:val="24"/>
          <w:lang w:val="id-ID"/>
        </w:rPr>
        <w:t xml:space="preserve"> </w:t>
      </w:r>
      <w:r>
        <w:rPr>
          <w:rFonts w:hint="default" w:ascii="Garamond" w:hAnsi="Garamond" w:cs="Garamond"/>
          <w:i/>
          <w:sz w:val="24"/>
          <w:szCs w:val="24"/>
          <w:lang w:val="id-ID"/>
        </w:rPr>
        <w:t>liwat</w:t>
      </w:r>
      <w:r>
        <w:rPr>
          <w:rFonts w:hint="default" w:ascii="Garamond" w:hAnsi="Garamond" w:cs="Garamond"/>
          <w:i/>
          <w:sz w:val="24"/>
          <w:szCs w:val="24"/>
        </w:rPr>
        <w:t xml:space="preserve"> </w:t>
      </w:r>
      <w:r>
        <w:rPr>
          <w:rFonts w:hint="default" w:ascii="Garamond" w:hAnsi="Garamond" w:cs="Garamond"/>
          <w:sz w:val="24"/>
          <w:szCs w:val="24"/>
        </w:rPr>
        <w:t>(sodomi)</w:t>
      </w:r>
      <w:r>
        <w:rPr>
          <w:rFonts w:hint="default" w:ascii="Garamond" w:hAnsi="Garamond" w:cs="Garamond"/>
          <w:i/>
          <w:sz w:val="24"/>
          <w:szCs w:val="24"/>
        </w:rPr>
        <w:t xml:space="preserve">. </w:t>
      </w:r>
      <w:r>
        <w:rPr>
          <w:rFonts w:hint="default" w:ascii="Garamond" w:hAnsi="Garamond" w:cs="Garamond"/>
          <w:sz w:val="24"/>
          <w:szCs w:val="24"/>
        </w:rPr>
        <w:t>Hal demikian disebakan</w:t>
      </w:r>
      <w:r>
        <w:rPr>
          <w:rFonts w:hint="default" w:ascii="Garamond" w:hAnsi="Garamond" w:cs="Garamond"/>
          <w:i/>
          <w:sz w:val="24"/>
          <w:szCs w:val="24"/>
        </w:rPr>
        <w:t xml:space="preserve"> </w:t>
      </w:r>
      <w:r>
        <w:rPr>
          <w:rFonts w:hint="default" w:ascii="Garamond" w:hAnsi="Garamond" w:cs="Garamond"/>
          <w:sz w:val="24"/>
          <w:szCs w:val="24"/>
          <w:lang w:val="id-ID"/>
        </w:rPr>
        <w:t>tidak semua</w:t>
      </w:r>
      <w:r>
        <w:rPr>
          <w:rFonts w:hint="default" w:ascii="Garamond" w:hAnsi="Garamond" w:cs="Garamond"/>
          <w:sz w:val="24"/>
          <w:szCs w:val="24"/>
        </w:rPr>
        <w:t xml:space="preserve"> prilaku</w:t>
      </w:r>
      <w:r>
        <w:rPr>
          <w:rFonts w:hint="default" w:ascii="Garamond" w:hAnsi="Garamond" w:cs="Garamond"/>
          <w:sz w:val="24"/>
          <w:szCs w:val="24"/>
          <w:lang w:val="id-ID"/>
        </w:rPr>
        <w:t xml:space="preserve"> homoseksual melakukan </w:t>
      </w:r>
      <w:r>
        <w:rPr>
          <w:rFonts w:hint="default" w:ascii="Garamond" w:hAnsi="Garamond" w:cs="Garamond"/>
          <w:i/>
          <w:sz w:val="24"/>
          <w:szCs w:val="24"/>
          <w:lang w:val="id-ID"/>
        </w:rPr>
        <w:t>liwat</w:t>
      </w:r>
      <w:r>
        <w:rPr>
          <w:rFonts w:hint="default" w:ascii="Garamond" w:hAnsi="Garamond" w:cs="Garamond"/>
          <w:sz w:val="24"/>
          <w:szCs w:val="24"/>
        </w:rPr>
        <w:t xml:space="preserve">. </w:t>
      </w:r>
      <w:r>
        <w:rPr>
          <w:rFonts w:hint="default" w:ascii="Garamond" w:hAnsi="Garamond" w:cs="Garamond"/>
          <w:sz w:val="24"/>
          <w:szCs w:val="24"/>
          <w:lang w:val="en-US"/>
        </w:rPr>
        <w:t>Menurut Musdah, k</w:t>
      </w:r>
      <w:r>
        <w:rPr>
          <w:rFonts w:hint="default" w:ascii="Garamond" w:hAnsi="Garamond" w:cs="Garamond"/>
          <w:sz w:val="24"/>
          <w:szCs w:val="24"/>
        </w:rPr>
        <w:t xml:space="preserve">eberadaan </w:t>
      </w:r>
      <w:r>
        <w:rPr>
          <w:rFonts w:hint="default" w:ascii="Garamond" w:hAnsi="Garamond" w:eastAsia="SimSun" w:cs="Garamond"/>
          <w:color w:val="000000"/>
          <w:sz w:val="24"/>
          <w:szCs w:val="24"/>
          <w:lang w:eastAsia="zh-CN" w:bidi="ar"/>
        </w:rPr>
        <w:t xml:space="preserve">homoseksual </w:t>
      </w:r>
      <w:r>
        <w:rPr>
          <w:rFonts w:hint="default" w:ascii="Garamond" w:hAnsi="Garamond" w:eastAsia="SimSun" w:cs="Garamond"/>
          <w:color w:val="000000"/>
          <w:sz w:val="24"/>
          <w:szCs w:val="24"/>
          <w:lang w:val="en-US" w:eastAsia="zh-CN" w:bidi="ar"/>
        </w:rPr>
        <w:t xml:space="preserve">merupakan </w:t>
      </w:r>
      <w:r>
        <w:rPr>
          <w:rFonts w:hint="default" w:ascii="Garamond" w:hAnsi="Garamond" w:eastAsia="SimSun" w:cs="Garamond"/>
          <w:color w:val="000000"/>
          <w:sz w:val="24"/>
          <w:szCs w:val="24"/>
          <w:lang w:eastAsia="zh-CN" w:bidi="ar"/>
        </w:rPr>
        <w:t xml:space="preserve">orientasi seksual yang sifatnya kodrati. </w:t>
      </w:r>
      <w:r>
        <w:rPr>
          <w:rFonts w:hint="default" w:ascii="Garamond" w:hAnsi="Garamond" w:cs="Garamond"/>
          <w:sz w:val="24"/>
          <w:szCs w:val="24"/>
        </w:rPr>
        <w:t>Musdah menambahkan bahwa u</w:t>
      </w:r>
      <w:r>
        <w:rPr>
          <w:rFonts w:hint="default" w:ascii="Garamond" w:hAnsi="Garamond" w:cs="Garamond"/>
          <w:sz w:val="24"/>
          <w:szCs w:val="24"/>
          <w:lang w:val="id-ID"/>
        </w:rPr>
        <w:t>lama klasik hanya membahas hukuman bagi prilaku seksual, bukan orientasi seksual</w:t>
      </w:r>
      <w:r>
        <w:rPr>
          <w:rFonts w:hint="default" w:ascii="Garamond" w:hAnsi="Garamond" w:cs="Garamond"/>
          <w:sz w:val="24"/>
          <w:szCs w:val="24"/>
        </w:rPr>
        <w:t>. Musdah</w:t>
      </w:r>
      <w:r>
        <w:rPr>
          <w:rFonts w:hint="default" w:ascii="Garamond" w:hAnsi="Garamond" w:cs="Garamond"/>
          <w:sz w:val="24"/>
          <w:szCs w:val="24"/>
          <w:lang w:val="en-US"/>
        </w:rPr>
        <w:t xml:space="preserve"> menegaskan bahwa</w:t>
      </w:r>
      <w:r>
        <w:rPr>
          <w:rFonts w:hint="default" w:ascii="Garamond" w:hAnsi="Garamond" w:cs="Garamond"/>
          <w:sz w:val="24"/>
          <w:szCs w:val="24"/>
        </w:rPr>
        <w:t xml:space="preserve"> </w:t>
      </w:r>
      <w:r>
        <w:rPr>
          <w:rFonts w:hint="default" w:ascii="Garamond" w:hAnsi="Garamond" w:cs="Garamond"/>
          <w:sz w:val="24"/>
          <w:szCs w:val="24"/>
          <w:lang w:val="id-ID"/>
        </w:rPr>
        <w:t xml:space="preserve">kedua hal tersebut berbeda, </w:t>
      </w:r>
      <w:r>
        <w:rPr>
          <w:rFonts w:hint="default" w:ascii="Garamond" w:hAnsi="Garamond" w:cs="Garamond"/>
          <w:sz w:val="24"/>
          <w:szCs w:val="24"/>
        </w:rPr>
        <w:t xml:space="preserve">akan tetapi </w:t>
      </w:r>
      <w:r>
        <w:rPr>
          <w:rFonts w:hint="default" w:ascii="Garamond" w:hAnsi="Garamond" w:cs="Garamond"/>
          <w:sz w:val="24"/>
          <w:szCs w:val="24"/>
          <w:lang w:val="id-ID"/>
        </w:rPr>
        <w:t>sebagian besar orang menyamakannya, sehingga akibat hukumnya pun sama</w:t>
      </w:r>
      <w:r>
        <w:rPr>
          <w:rFonts w:hint="default" w:ascii="Garamond" w:hAnsi="Garamond" w:cs="Garamond"/>
          <w:sz w:val="24"/>
          <w:szCs w:val="24"/>
        </w:rPr>
        <w:t>.</w:t>
      </w:r>
      <w:r>
        <w:rPr>
          <w:rFonts w:hint="default" w:ascii="Garamond" w:hAnsi="Garamond" w:eastAsia="SimSun" w:cs="Garamond"/>
          <w:sz w:val="24"/>
          <w:szCs w:val="24"/>
          <w:vertAlign w:val="superscript"/>
          <w:lang w:val="id-ID"/>
        </w:rPr>
        <w:footnoteReference w:id="2"/>
      </w:r>
      <w:r>
        <w:rPr>
          <w:rFonts w:hint="default" w:ascii="Garamond" w:hAnsi="Garamond" w:cs="Garamond"/>
          <w:sz w:val="24"/>
          <w:szCs w:val="24"/>
        </w:rPr>
        <w:t xml:space="preserve"> M</w:t>
      </w:r>
      <w:r>
        <w:rPr>
          <w:rFonts w:hint="default" w:ascii="Garamond" w:hAnsi="Garamond" w:cs="Garamond"/>
          <w:sz w:val="24"/>
          <w:szCs w:val="24"/>
          <w:lang w:val="en-US"/>
        </w:rPr>
        <w:t>es</w:t>
      </w:r>
      <w:r>
        <w:rPr>
          <w:rFonts w:hint="default" w:ascii="Garamond" w:hAnsi="Garamond" w:cs="Garamond"/>
          <w:sz w:val="24"/>
          <w:szCs w:val="24"/>
        </w:rPr>
        <w:t xml:space="preserve">ki tidak dapat dipungkiri sikap moderat sosial keberagamaan Musdah terkait kaum </w:t>
      </w:r>
      <w:r>
        <w:rPr>
          <w:rFonts w:hint="default" w:ascii="Garamond" w:hAnsi="Garamond" w:cs="Garamond"/>
          <w:sz w:val="24"/>
          <w:szCs w:val="24"/>
          <w:lang w:val="en-US"/>
        </w:rPr>
        <w:t>homoseksual</w:t>
      </w:r>
      <w:r>
        <w:rPr>
          <w:rFonts w:hint="default" w:ascii="Garamond" w:hAnsi="Garamond" w:cs="Garamond"/>
          <w:sz w:val="24"/>
          <w:szCs w:val="24"/>
        </w:rPr>
        <w:t xml:space="preserve"> tersebut pada ranah praksisnya juga pasti akan berhadapan </w:t>
      </w:r>
      <w:r>
        <w:rPr>
          <w:rFonts w:hint="default" w:ascii="Garamond" w:hAnsi="Garamond" w:cs="Garamond"/>
          <w:sz w:val="24"/>
          <w:szCs w:val="24"/>
          <w:shd w:val="clear" w:color="auto" w:fill="FFFFFF"/>
        </w:rPr>
        <w:t>dan berkontestasi dengan berbagai nilai atau sudut pandang, baik dari yang sejalan maupun yang bersebarangan</w:t>
      </w:r>
      <w:r>
        <w:rPr>
          <w:rFonts w:hint="default" w:ascii="Garamond" w:hAnsi="Garamond" w:cs="Garamond"/>
          <w:sz w:val="28"/>
          <w:szCs w:val="28"/>
          <w:shd w:val="clear" w:color="auto" w:fill="FFFFFF"/>
        </w:rPr>
        <w:t>.</w:t>
      </w:r>
      <w:r>
        <w:rPr>
          <w:rStyle w:val="11"/>
          <w:rFonts w:hint="default" w:ascii="Garamond" w:hAnsi="Garamond" w:eastAsia="SimSun" w:cs="Garamond"/>
          <w:sz w:val="28"/>
          <w:szCs w:val="28"/>
          <w:shd w:val="clear" w:color="auto" w:fill="FFFFFF"/>
        </w:rPr>
        <w:footnoteReference w:id="3"/>
      </w:r>
    </w:p>
    <w:p>
      <w:pPr>
        <w:spacing w:beforeLines="0" w:afterLines="0" w:line="360" w:lineRule="auto"/>
        <w:ind w:firstLine="720" w:firstLineChars="0"/>
        <w:jc w:val="both"/>
        <w:rPr>
          <w:rFonts w:hint="default" w:ascii="Garamond" w:hAnsi="Garamond" w:cs="Garamond"/>
          <w:sz w:val="24"/>
          <w:szCs w:val="24"/>
        </w:rPr>
      </w:pPr>
      <w:r>
        <w:rPr>
          <w:rFonts w:hint="default" w:ascii="Garamond" w:hAnsi="Garamond" w:cs="Garamond"/>
          <w:sz w:val="24"/>
          <w:szCs w:val="24"/>
        </w:rPr>
        <w:t>Berbeda dengan Musdah Mulia, intelektual muslim prempuan Indonesia lainnya, yakni Huza</w:t>
      </w:r>
      <w:r>
        <w:rPr>
          <w:rFonts w:hint="default" w:ascii="Garamond" w:hAnsi="Garamond" w:cs="Garamond"/>
          <w:sz w:val="24"/>
          <w:szCs w:val="24"/>
          <w:lang w:val="en-US"/>
        </w:rPr>
        <w:t>em</w:t>
      </w:r>
      <w:r>
        <w:rPr>
          <w:rFonts w:hint="default" w:ascii="Garamond" w:hAnsi="Garamond" w:cs="Garamond"/>
          <w:sz w:val="24"/>
          <w:szCs w:val="24"/>
        </w:rPr>
        <w:t>ah Tahido Yanggo mengatakan para pembela kaum</w:t>
      </w:r>
      <w:r>
        <w:rPr>
          <w:rFonts w:hint="default" w:ascii="Garamond" w:hAnsi="Garamond" w:cs="Garamond"/>
          <w:sz w:val="24"/>
          <w:szCs w:val="24"/>
          <w:lang w:val="en"/>
        </w:rPr>
        <w:t xml:space="preserve"> homo</w:t>
      </w:r>
      <w:r>
        <w:rPr>
          <w:rFonts w:hint="default" w:ascii="Garamond" w:hAnsi="Garamond" w:cs="Garamond"/>
          <w:sz w:val="24"/>
          <w:szCs w:val="24"/>
        </w:rPr>
        <w:t xml:space="preserve">seksual </w:t>
      </w:r>
      <w:r>
        <w:rPr>
          <w:rFonts w:hint="default" w:ascii="Garamond" w:hAnsi="Garamond" w:cs="Garamond"/>
          <w:sz w:val="24"/>
          <w:szCs w:val="24"/>
          <w:lang w:val="en"/>
        </w:rPr>
        <w:t xml:space="preserve">berusaha mencari legitimasi dalil dari </w:t>
      </w:r>
      <w:r>
        <w:rPr>
          <w:rFonts w:hint="default" w:ascii="Garamond" w:hAnsi="Garamond" w:cs="Garamond"/>
          <w:sz w:val="24"/>
          <w:szCs w:val="24"/>
        </w:rPr>
        <w:t>a</w:t>
      </w:r>
      <w:r>
        <w:rPr>
          <w:rFonts w:hint="default" w:ascii="Garamond" w:hAnsi="Garamond" w:cs="Garamond"/>
          <w:sz w:val="24"/>
          <w:szCs w:val="24"/>
          <w:lang w:val="en"/>
        </w:rPr>
        <w:t>1-Qur</w:t>
      </w:r>
      <w:r>
        <w:rPr>
          <w:rFonts w:hint="default" w:ascii="Garamond" w:hAnsi="Garamond" w:cs="Garamond"/>
          <w:sz w:val="24"/>
          <w:szCs w:val="24"/>
        </w:rPr>
        <w:t>’</w:t>
      </w:r>
      <w:r>
        <w:rPr>
          <w:rFonts w:hint="default" w:ascii="Garamond" w:hAnsi="Garamond" w:cs="Garamond"/>
          <w:sz w:val="24"/>
          <w:szCs w:val="24"/>
          <w:lang w:val="en"/>
        </w:rPr>
        <w:t>an</w:t>
      </w:r>
      <w:r>
        <w:rPr>
          <w:rFonts w:hint="default" w:ascii="Garamond" w:hAnsi="Garamond" w:cs="Garamond"/>
          <w:sz w:val="24"/>
          <w:szCs w:val="24"/>
        </w:rPr>
        <w:t xml:space="preserve"> dengan cara</w:t>
      </w:r>
      <w:r>
        <w:rPr>
          <w:rFonts w:hint="default" w:ascii="Garamond" w:hAnsi="Garamond" w:cs="Garamond"/>
          <w:sz w:val="24"/>
          <w:szCs w:val="24"/>
          <w:lang w:val="en"/>
        </w:rPr>
        <w:t xml:space="preserve"> memelintir maknanya d</w:t>
      </w:r>
      <w:r>
        <w:rPr>
          <w:rFonts w:hint="default" w:ascii="Garamond" w:hAnsi="Garamond" w:cs="Garamond"/>
          <w:sz w:val="24"/>
          <w:szCs w:val="24"/>
        </w:rPr>
        <w:t>an</w:t>
      </w:r>
      <w:r>
        <w:rPr>
          <w:rFonts w:hint="default" w:ascii="Garamond" w:hAnsi="Garamond" w:cs="Garamond"/>
          <w:sz w:val="24"/>
          <w:szCs w:val="24"/>
          <w:lang w:val="en"/>
        </w:rPr>
        <w:t xml:space="preserve"> tidak melihat pada </w:t>
      </w:r>
      <w:r>
        <w:rPr>
          <w:rFonts w:hint="default" w:ascii="Garamond" w:hAnsi="Garamond" w:cs="Garamond"/>
          <w:sz w:val="24"/>
          <w:szCs w:val="24"/>
        </w:rPr>
        <w:t xml:space="preserve">pelbagai </w:t>
      </w:r>
      <w:r>
        <w:rPr>
          <w:rFonts w:hint="default" w:ascii="Garamond" w:hAnsi="Garamond" w:cs="Garamond"/>
          <w:sz w:val="24"/>
          <w:szCs w:val="24"/>
          <w:lang w:val="en"/>
        </w:rPr>
        <w:t xml:space="preserve">ayat lain yang </w:t>
      </w:r>
      <w:r>
        <w:rPr>
          <w:rFonts w:hint="default" w:ascii="Garamond" w:hAnsi="Garamond" w:cs="Garamond"/>
          <w:sz w:val="24"/>
          <w:szCs w:val="24"/>
        </w:rPr>
        <w:t xml:space="preserve">memiliki korelasi </w:t>
      </w:r>
      <w:r>
        <w:rPr>
          <w:rFonts w:hint="default" w:ascii="Garamond" w:hAnsi="Garamond" w:cs="Garamond"/>
          <w:sz w:val="24"/>
          <w:szCs w:val="24"/>
          <w:lang w:val="en"/>
        </w:rPr>
        <w:t xml:space="preserve">dengan masalah yang ada. </w:t>
      </w:r>
      <w:r>
        <w:rPr>
          <w:rFonts w:hint="default" w:ascii="Garamond" w:hAnsi="Garamond" w:cs="Garamond"/>
          <w:sz w:val="24"/>
          <w:szCs w:val="24"/>
        </w:rPr>
        <w:t>Huzaimah menambahkan p</w:t>
      </w:r>
      <w:r>
        <w:rPr>
          <w:rFonts w:hint="default" w:ascii="Garamond" w:hAnsi="Garamond" w:cs="Garamond"/>
          <w:sz w:val="24"/>
          <w:szCs w:val="24"/>
          <w:lang w:val="en"/>
        </w:rPr>
        <w:t xml:space="preserve">adahal ayat-ayat </w:t>
      </w:r>
      <w:r>
        <w:rPr>
          <w:rFonts w:hint="default" w:ascii="Garamond" w:hAnsi="Garamond" w:cs="Garamond"/>
          <w:sz w:val="24"/>
          <w:szCs w:val="24"/>
        </w:rPr>
        <w:t>a</w:t>
      </w:r>
      <w:r>
        <w:rPr>
          <w:rFonts w:hint="default" w:ascii="Garamond" w:hAnsi="Garamond" w:cs="Garamond"/>
          <w:sz w:val="24"/>
          <w:szCs w:val="24"/>
          <w:lang w:val="en"/>
        </w:rPr>
        <w:t>l-Qur</w:t>
      </w:r>
      <w:r>
        <w:rPr>
          <w:rFonts w:hint="default" w:ascii="Garamond" w:hAnsi="Garamond" w:cs="Garamond"/>
          <w:sz w:val="24"/>
          <w:szCs w:val="24"/>
        </w:rPr>
        <w:t>’</w:t>
      </w:r>
      <w:r>
        <w:rPr>
          <w:rFonts w:hint="default" w:ascii="Garamond" w:hAnsi="Garamond" w:cs="Garamond"/>
          <w:sz w:val="24"/>
          <w:szCs w:val="24"/>
          <w:lang w:val="en"/>
        </w:rPr>
        <w:t xml:space="preserve">an saling menafsirkan antara satu ayat dengan ayat lainnya. </w:t>
      </w:r>
      <w:r>
        <w:rPr>
          <w:rFonts w:hint="default" w:ascii="Garamond" w:hAnsi="Garamond" w:cs="Garamond"/>
          <w:sz w:val="24"/>
          <w:szCs w:val="24"/>
        </w:rPr>
        <w:t>Menurut Huza</w:t>
      </w:r>
      <w:r>
        <w:rPr>
          <w:rFonts w:hint="default" w:ascii="Garamond" w:hAnsi="Garamond" w:cs="Garamond"/>
          <w:sz w:val="24"/>
          <w:szCs w:val="24"/>
          <w:lang w:val="en-US"/>
        </w:rPr>
        <w:t>em</w:t>
      </w:r>
      <w:r>
        <w:rPr>
          <w:rFonts w:hint="default" w:ascii="Garamond" w:hAnsi="Garamond" w:cs="Garamond"/>
          <w:sz w:val="24"/>
          <w:szCs w:val="24"/>
        </w:rPr>
        <w:t>ah, kekeliruan pra pembela kaum homoseksual</w:t>
      </w:r>
      <w:r>
        <w:rPr>
          <w:rFonts w:hint="default" w:ascii="Garamond" w:hAnsi="Garamond" w:cs="Garamond"/>
          <w:sz w:val="24"/>
          <w:szCs w:val="24"/>
          <w:lang w:val="en"/>
        </w:rPr>
        <w:t xml:space="preserve"> disebabkan karena mereka hanya memiliki sedikit ilmu pengetahuan agama, belum banyak membaca tafsir dan Hadis, tidak mengetahui ushul fiqh dan </w:t>
      </w:r>
      <w:r>
        <w:rPr>
          <w:rFonts w:hint="default" w:ascii="Garamond" w:hAnsi="Garamond" w:cs="Garamond"/>
          <w:sz w:val="24"/>
          <w:szCs w:val="24"/>
        </w:rPr>
        <w:t>media</w:t>
      </w:r>
      <w:r>
        <w:rPr>
          <w:rFonts w:hint="default" w:ascii="Garamond" w:hAnsi="Garamond" w:cs="Garamond"/>
          <w:sz w:val="24"/>
          <w:szCs w:val="24"/>
          <w:lang w:val="en"/>
        </w:rPr>
        <w:t xml:space="preserve"> ijtihad lainnya, sehingga menurut mereka tidak ada larangan dari </w:t>
      </w:r>
      <w:r>
        <w:rPr>
          <w:rFonts w:hint="default" w:ascii="Garamond" w:hAnsi="Garamond" w:cs="Garamond"/>
          <w:sz w:val="24"/>
          <w:szCs w:val="24"/>
        </w:rPr>
        <w:t>a</w:t>
      </w:r>
      <w:r>
        <w:rPr>
          <w:rFonts w:hint="default" w:ascii="Garamond" w:hAnsi="Garamond" w:cs="Garamond"/>
          <w:sz w:val="24"/>
          <w:szCs w:val="24"/>
          <w:lang w:val="en"/>
        </w:rPr>
        <w:t>l-Qur</w:t>
      </w:r>
      <w:r>
        <w:rPr>
          <w:rFonts w:hint="default" w:ascii="Garamond" w:hAnsi="Garamond" w:cs="Garamond"/>
          <w:sz w:val="24"/>
          <w:szCs w:val="24"/>
        </w:rPr>
        <w:t>’</w:t>
      </w:r>
      <w:r>
        <w:rPr>
          <w:rFonts w:hint="default" w:ascii="Garamond" w:hAnsi="Garamond" w:cs="Garamond"/>
          <w:sz w:val="24"/>
          <w:szCs w:val="24"/>
          <w:lang w:val="en"/>
        </w:rPr>
        <w:t xml:space="preserve">an dan Hadis untuk melakukan homoseksual sehingga menurut mereka, bahwa pelarangan terhadap </w:t>
      </w:r>
      <w:r>
        <w:rPr>
          <w:rFonts w:hint="default" w:ascii="Garamond" w:hAnsi="Garamond" w:cs="Garamond"/>
          <w:sz w:val="24"/>
          <w:szCs w:val="24"/>
          <w:lang w:val="en-US"/>
        </w:rPr>
        <w:t>kaum homoseksual</w:t>
      </w:r>
      <w:r>
        <w:rPr>
          <w:rFonts w:hint="default" w:ascii="Garamond" w:hAnsi="Garamond" w:cs="Garamond"/>
          <w:sz w:val="24"/>
          <w:szCs w:val="24"/>
          <w:lang w:val="en"/>
        </w:rPr>
        <w:t xml:space="preserve"> </w:t>
      </w:r>
      <w:r>
        <w:rPr>
          <w:rFonts w:hint="default" w:ascii="Garamond" w:hAnsi="Garamond" w:cs="Garamond"/>
          <w:sz w:val="24"/>
          <w:szCs w:val="24"/>
          <w:lang w:val="en-US"/>
        </w:rPr>
        <w:t xml:space="preserve">merupakan bentuk </w:t>
      </w:r>
      <w:r>
        <w:rPr>
          <w:rFonts w:hint="default" w:ascii="Garamond" w:hAnsi="Garamond" w:cs="Garamond"/>
          <w:sz w:val="24"/>
          <w:szCs w:val="24"/>
          <w:lang w:val="en"/>
        </w:rPr>
        <w:t>pela</w:t>
      </w:r>
      <w:r>
        <w:rPr>
          <w:rFonts w:hint="default" w:ascii="Garamond" w:hAnsi="Garamond" w:cs="Garamond"/>
          <w:sz w:val="24"/>
          <w:szCs w:val="24"/>
          <w:lang w:val="en-US"/>
        </w:rPr>
        <w:t>nggaran</w:t>
      </w:r>
      <w:r>
        <w:rPr>
          <w:rFonts w:hint="default" w:ascii="Garamond" w:hAnsi="Garamond" w:cs="Garamond"/>
          <w:sz w:val="24"/>
          <w:szCs w:val="24"/>
          <w:lang w:val="en"/>
        </w:rPr>
        <w:t xml:space="preserve"> terhadap H</w:t>
      </w:r>
      <w:r>
        <w:rPr>
          <w:rFonts w:hint="default" w:ascii="Garamond" w:hAnsi="Garamond" w:cs="Garamond"/>
          <w:sz w:val="24"/>
          <w:szCs w:val="24"/>
        </w:rPr>
        <w:t xml:space="preserve">ak </w:t>
      </w:r>
      <w:r>
        <w:rPr>
          <w:rFonts w:hint="default" w:ascii="Garamond" w:hAnsi="Garamond" w:cs="Garamond"/>
          <w:sz w:val="24"/>
          <w:szCs w:val="24"/>
          <w:lang w:val="en"/>
        </w:rPr>
        <w:t>A</w:t>
      </w:r>
      <w:r>
        <w:rPr>
          <w:rFonts w:hint="default" w:ascii="Garamond" w:hAnsi="Garamond" w:cs="Garamond"/>
          <w:sz w:val="24"/>
          <w:szCs w:val="24"/>
        </w:rPr>
        <w:t xml:space="preserve">sasi </w:t>
      </w:r>
      <w:r>
        <w:rPr>
          <w:rFonts w:hint="default" w:ascii="Garamond" w:hAnsi="Garamond" w:cs="Garamond"/>
          <w:sz w:val="24"/>
          <w:szCs w:val="24"/>
          <w:lang w:val="en"/>
        </w:rPr>
        <w:t>M</w:t>
      </w:r>
      <w:r>
        <w:rPr>
          <w:rFonts w:hint="default" w:ascii="Garamond" w:hAnsi="Garamond" w:cs="Garamond"/>
          <w:sz w:val="24"/>
          <w:szCs w:val="24"/>
        </w:rPr>
        <w:t>anusia.</w:t>
      </w:r>
      <w:r>
        <w:rPr>
          <w:rFonts w:hint="default" w:ascii="Garamond" w:hAnsi="Garamond" w:cs="Garamond"/>
          <w:sz w:val="24"/>
          <w:szCs w:val="24"/>
          <w:vertAlign w:val="superscript"/>
        </w:rPr>
        <w:footnoteReference w:id="4"/>
      </w:r>
    </w:p>
    <w:p>
      <w:pPr>
        <w:spacing w:beforeLines="0" w:afterLines="0" w:line="360" w:lineRule="auto"/>
        <w:ind w:firstLine="720" w:firstLineChars="0"/>
        <w:jc w:val="both"/>
        <w:rPr>
          <w:rFonts w:hint="default" w:ascii="Garamond" w:hAnsi="Garamond" w:cs="Garamond"/>
          <w:sz w:val="24"/>
          <w:szCs w:val="24"/>
        </w:rPr>
      </w:pPr>
      <w:r>
        <w:rPr>
          <w:rFonts w:hint="default" w:ascii="Garamond" w:hAnsi="Garamond" w:cs="Garamond"/>
          <w:sz w:val="24"/>
          <w:szCs w:val="24"/>
        </w:rPr>
        <w:t>Perbedaan epistemologis dari dua pandangan tokoh di atas menarik untuk dianlisis lebih mendalam. Mengingat keduanya merupakan tokoh intelektual muslim di Indonesia yang sangat berpengaruh dan memiliki basis keilmuan Islam</w:t>
      </w:r>
      <w:r>
        <w:rPr>
          <w:rFonts w:hint="default" w:ascii="Garamond" w:hAnsi="Garamond" w:cs="Garamond"/>
          <w:sz w:val="24"/>
          <w:szCs w:val="24"/>
          <w:lang w:val="en-US"/>
        </w:rPr>
        <w:t xml:space="preserve"> yang massif</w:t>
      </w:r>
      <w:r>
        <w:rPr>
          <w:rFonts w:hint="default" w:ascii="Garamond" w:hAnsi="Garamond" w:cs="Garamond"/>
          <w:sz w:val="24"/>
          <w:szCs w:val="24"/>
        </w:rPr>
        <w:t xml:space="preserve">. Namun memiliki perbedaan </w:t>
      </w:r>
      <w:r>
        <w:rPr>
          <w:rFonts w:hint="default" w:ascii="Garamond" w:hAnsi="Garamond" w:cs="Garamond"/>
          <w:sz w:val="24"/>
          <w:szCs w:val="24"/>
          <w:lang w:val="en-US"/>
        </w:rPr>
        <w:t>fundamental</w:t>
      </w:r>
      <w:r>
        <w:rPr>
          <w:rFonts w:hint="default" w:ascii="Garamond" w:hAnsi="Garamond" w:cs="Garamond"/>
          <w:sz w:val="24"/>
          <w:szCs w:val="24"/>
        </w:rPr>
        <w:t xml:space="preserve"> </w:t>
      </w:r>
      <w:r>
        <w:rPr>
          <w:rFonts w:hint="default" w:ascii="Garamond" w:hAnsi="Garamond" w:cs="Garamond"/>
          <w:sz w:val="24"/>
          <w:szCs w:val="24"/>
          <w:lang w:val="en-US"/>
        </w:rPr>
        <w:t>terhadap</w:t>
      </w:r>
      <w:r>
        <w:rPr>
          <w:rFonts w:hint="default" w:ascii="Garamond" w:hAnsi="Garamond" w:cs="Garamond"/>
          <w:sz w:val="24"/>
          <w:szCs w:val="24"/>
        </w:rPr>
        <w:t xml:space="preserve"> eksistensi kaum </w:t>
      </w:r>
      <w:r>
        <w:rPr>
          <w:rFonts w:hint="default" w:ascii="Garamond" w:hAnsi="Garamond" w:cs="Garamond"/>
          <w:sz w:val="24"/>
          <w:szCs w:val="24"/>
          <w:lang w:val="en-US"/>
        </w:rPr>
        <w:t xml:space="preserve">homoseksual. </w:t>
      </w:r>
      <w:r>
        <w:rPr>
          <w:rFonts w:hint="default" w:ascii="Garamond" w:hAnsi="Garamond" w:cs="Garamond"/>
          <w:sz w:val="24"/>
          <w:szCs w:val="24"/>
        </w:rPr>
        <w:t>Perbedaan pandangan kedua tokoh tersebut di satu sisi dapat menjadi pengayaan pandangan</w:t>
      </w:r>
      <w:r>
        <w:rPr>
          <w:rFonts w:hint="default" w:ascii="Garamond" w:hAnsi="Garamond" w:cs="Garamond"/>
          <w:sz w:val="24"/>
          <w:szCs w:val="24"/>
          <w:lang w:val="en-US"/>
        </w:rPr>
        <w:t xml:space="preserve"> hukum</w:t>
      </w:r>
      <w:r>
        <w:rPr>
          <w:rFonts w:hint="default" w:ascii="Garamond" w:hAnsi="Garamond" w:cs="Garamond"/>
          <w:sz w:val="24"/>
          <w:szCs w:val="24"/>
        </w:rPr>
        <w:t xml:space="preserve"> Islam khususnya terkait eksistensi kaum </w:t>
      </w:r>
      <w:r>
        <w:rPr>
          <w:rFonts w:hint="default" w:ascii="Garamond" w:hAnsi="Garamond" w:cs="Garamond"/>
          <w:sz w:val="24"/>
          <w:szCs w:val="24"/>
          <w:lang w:val="en-US"/>
        </w:rPr>
        <w:t>homoseksual</w:t>
      </w:r>
      <w:r>
        <w:rPr>
          <w:rFonts w:hint="default" w:ascii="Garamond" w:hAnsi="Garamond" w:cs="Garamond"/>
          <w:sz w:val="24"/>
          <w:szCs w:val="24"/>
        </w:rPr>
        <w:t xml:space="preserve">, akan tetapi di sisi lain dapat menimbulkan dilema bagi umat Islam terkait bagaimana menyikapi fenomena </w:t>
      </w:r>
      <w:r>
        <w:rPr>
          <w:rFonts w:hint="default" w:ascii="Garamond" w:hAnsi="Garamond" w:cs="Garamond"/>
          <w:sz w:val="24"/>
          <w:szCs w:val="24"/>
          <w:lang w:val="en-US"/>
        </w:rPr>
        <w:t xml:space="preserve">homoseksual </w:t>
      </w:r>
      <w:r>
        <w:rPr>
          <w:rFonts w:hint="default" w:ascii="Garamond" w:hAnsi="Garamond" w:cs="Garamond"/>
          <w:sz w:val="24"/>
          <w:szCs w:val="24"/>
        </w:rPr>
        <w:t>yang sedang melanda di Indonesia khususnya.</w:t>
      </w:r>
    </w:p>
    <w:p>
      <w:pPr>
        <w:spacing w:beforeLines="0" w:afterLines="0" w:line="360" w:lineRule="auto"/>
        <w:ind w:firstLine="720" w:firstLineChars="0"/>
        <w:jc w:val="both"/>
        <w:rPr>
          <w:rFonts w:hint="default" w:ascii="Garamond" w:hAnsi="Garamond" w:cs="Garamond"/>
          <w:sz w:val="24"/>
          <w:szCs w:val="24"/>
        </w:rPr>
      </w:pPr>
      <w:r>
        <w:rPr>
          <w:rFonts w:hint="default" w:ascii="Garamond" w:hAnsi="Garamond" w:cs="Garamond"/>
          <w:sz w:val="24"/>
          <w:szCs w:val="24"/>
          <w:lang w:val="en-US"/>
        </w:rPr>
        <w:t>Berpijak pada kegelisahan akademik di atas, p</w:t>
      </w:r>
      <w:r>
        <w:rPr>
          <w:rFonts w:hint="default" w:ascii="Garamond" w:hAnsi="Garamond" w:cs="Garamond"/>
          <w:sz w:val="24"/>
          <w:szCs w:val="24"/>
        </w:rPr>
        <w:t>enelitian ini bermaksud untuk melakukan analisis komparataif terhadap pandangan Musdah Mulia dan Huza</w:t>
      </w:r>
      <w:r>
        <w:rPr>
          <w:rFonts w:hint="default" w:ascii="Garamond" w:hAnsi="Garamond" w:cs="Garamond"/>
          <w:sz w:val="24"/>
          <w:szCs w:val="24"/>
          <w:lang w:val="en-US"/>
        </w:rPr>
        <w:t>em</w:t>
      </w:r>
      <w:r>
        <w:rPr>
          <w:rFonts w:hint="default" w:ascii="Garamond" w:hAnsi="Garamond" w:cs="Garamond"/>
          <w:sz w:val="24"/>
          <w:szCs w:val="24"/>
        </w:rPr>
        <w:t>ah</w:t>
      </w:r>
      <w:r>
        <w:rPr>
          <w:rFonts w:hint="default" w:ascii="Garamond" w:hAnsi="Garamond" w:cs="Garamond"/>
          <w:sz w:val="24"/>
          <w:szCs w:val="24"/>
          <w:lang w:val="en-US"/>
        </w:rPr>
        <w:t xml:space="preserve"> </w:t>
      </w:r>
      <w:r>
        <w:rPr>
          <w:rFonts w:hint="default" w:ascii="Garamond" w:hAnsi="Garamond" w:cs="Garamond"/>
          <w:sz w:val="24"/>
          <w:szCs w:val="24"/>
        </w:rPr>
        <w:t>Tahido Yanggo tentang homoseksual melalui pendekatan lima kaidah hukum Islam universal (</w:t>
      </w:r>
      <w:r>
        <w:rPr>
          <w:rFonts w:hint="default" w:ascii="Garamond" w:hAnsi="Garamond" w:cs="Garamond"/>
          <w:i/>
          <w:sz w:val="24"/>
          <w:szCs w:val="24"/>
        </w:rPr>
        <w:t>al-Qawaid al-Kuliiyat al-Khomsah</w:t>
      </w:r>
      <w:r>
        <w:rPr>
          <w:rFonts w:hint="default" w:ascii="Garamond" w:hAnsi="Garamond" w:cs="Garamond"/>
          <w:sz w:val="24"/>
          <w:szCs w:val="24"/>
        </w:rPr>
        <w:t xml:space="preserve">). Berdasarkan penelusuran penulis </w:t>
      </w:r>
      <w:r>
        <w:rPr>
          <w:rFonts w:hint="default" w:ascii="Garamond" w:hAnsi="Garamond" w:cs="Garamond"/>
          <w:sz w:val="24"/>
          <w:szCs w:val="24"/>
          <w:lang w:val="en-US"/>
        </w:rPr>
        <w:t>terdapat</w:t>
      </w:r>
      <w:r>
        <w:rPr>
          <w:rFonts w:hint="default" w:ascii="Garamond" w:hAnsi="Garamond" w:cs="Garamond"/>
          <w:sz w:val="24"/>
          <w:szCs w:val="24"/>
        </w:rPr>
        <w:t xml:space="preserve"> beberpa penelitian sebelumnya yang memiliki keterkaitan dengan inti pembahasan dalam penelitian ini, antara lain Ahmad Royhan Firdausy  (2018) menjelaskan tolak ukur </w:t>
      </w:r>
      <w:r>
        <w:rPr>
          <w:rFonts w:hint="default" w:ascii="Garamond" w:hAnsi="Garamond" w:cs="Garamond"/>
          <w:sz w:val="24"/>
          <w:szCs w:val="24"/>
          <w:lang w:val="en"/>
        </w:rPr>
        <w:t>validitas penafsiran</w:t>
      </w:r>
      <w:r>
        <w:rPr>
          <w:rFonts w:hint="default" w:ascii="Garamond" w:hAnsi="Garamond" w:cs="Garamond"/>
          <w:sz w:val="24"/>
          <w:szCs w:val="24"/>
        </w:rPr>
        <w:t xml:space="preserve"> Musdah Mulia terkait keabsahan kaum homoseksual dalam Islam berpijak pada</w:t>
      </w:r>
      <w:r>
        <w:rPr>
          <w:rFonts w:hint="default" w:ascii="Garamond" w:hAnsi="Garamond" w:cs="Garamond"/>
          <w:sz w:val="24"/>
          <w:szCs w:val="24"/>
          <w:lang w:val="en"/>
        </w:rPr>
        <w:t xml:space="preserve"> teori kebenaran koherensi dan teori pragmatisme. Dari sisi teori kebenaran koherensi</w:t>
      </w:r>
      <w:r>
        <w:rPr>
          <w:rFonts w:hint="default" w:ascii="Garamond" w:hAnsi="Garamond" w:cs="Garamond"/>
          <w:sz w:val="24"/>
          <w:szCs w:val="24"/>
        </w:rPr>
        <w:t xml:space="preserve">, penafsirannya </w:t>
      </w:r>
      <w:r>
        <w:rPr>
          <w:rFonts w:hint="default" w:ascii="Garamond" w:hAnsi="Garamond" w:cs="Garamond"/>
          <w:sz w:val="24"/>
          <w:szCs w:val="24"/>
          <w:lang w:val="en"/>
        </w:rPr>
        <w:t xml:space="preserve">konsisten </w:t>
      </w:r>
      <w:r>
        <w:rPr>
          <w:rFonts w:hint="default" w:ascii="Garamond" w:hAnsi="Garamond" w:cs="Garamond"/>
          <w:sz w:val="24"/>
          <w:szCs w:val="24"/>
        </w:rPr>
        <w:t>menilai</w:t>
      </w:r>
      <w:r>
        <w:rPr>
          <w:rFonts w:hint="default" w:ascii="Garamond" w:hAnsi="Garamond" w:cs="Garamond"/>
          <w:sz w:val="24"/>
          <w:szCs w:val="24"/>
          <w:lang w:val="en"/>
        </w:rPr>
        <w:t xml:space="preserve"> homoseksual bukan</w:t>
      </w:r>
      <w:r>
        <w:rPr>
          <w:rFonts w:hint="default" w:ascii="Garamond" w:hAnsi="Garamond" w:cs="Garamond"/>
          <w:sz w:val="24"/>
          <w:szCs w:val="24"/>
        </w:rPr>
        <w:t xml:space="preserve"> tindakan </w:t>
      </w:r>
      <w:r>
        <w:rPr>
          <w:rFonts w:hint="default" w:ascii="Garamond" w:hAnsi="Garamond" w:cs="Garamond"/>
          <w:sz w:val="24"/>
          <w:szCs w:val="24"/>
          <w:lang w:val="en"/>
        </w:rPr>
        <w:t xml:space="preserve">sodomi, </w:t>
      </w:r>
      <w:r>
        <w:rPr>
          <w:rFonts w:hint="default" w:ascii="Garamond" w:hAnsi="Garamond" w:cs="Garamond"/>
          <w:sz w:val="24"/>
          <w:szCs w:val="24"/>
        </w:rPr>
        <w:t>akan tetapi</w:t>
      </w:r>
      <w:r>
        <w:rPr>
          <w:rFonts w:hint="default" w:ascii="Garamond" w:hAnsi="Garamond" w:cs="Garamond"/>
          <w:sz w:val="24"/>
          <w:szCs w:val="24"/>
          <w:lang w:val="en"/>
        </w:rPr>
        <w:t xml:space="preserve"> orientasi seksual yang sifatnya kodrati.</w:t>
      </w:r>
      <w:r>
        <w:rPr>
          <w:rFonts w:hint="default" w:ascii="Garamond" w:hAnsi="Garamond" w:cs="Garamond"/>
          <w:sz w:val="24"/>
          <w:szCs w:val="24"/>
        </w:rPr>
        <w:t xml:space="preserve"> Sementara itu, </w:t>
      </w:r>
      <w:r>
        <w:rPr>
          <w:rFonts w:hint="default" w:ascii="Garamond" w:hAnsi="Garamond" w:cs="Garamond"/>
          <w:sz w:val="24"/>
          <w:szCs w:val="24"/>
          <w:lang w:val="en"/>
        </w:rPr>
        <w:t>teori kebenaran pragmatis</w:t>
      </w:r>
      <w:r>
        <w:rPr>
          <w:rFonts w:hint="default" w:ascii="Garamond" w:hAnsi="Garamond" w:cs="Garamond"/>
          <w:sz w:val="24"/>
          <w:szCs w:val="24"/>
        </w:rPr>
        <w:t xml:space="preserve"> dilihat dari</w:t>
      </w:r>
      <w:r>
        <w:rPr>
          <w:rFonts w:hint="default" w:ascii="Garamond" w:hAnsi="Garamond" w:cs="Garamond"/>
          <w:sz w:val="24"/>
          <w:szCs w:val="24"/>
          <w:lang w:val="en"/>
        </w:rPr>
        <w:t xml:space="preserve"> penafsirannya yang menyatakan apapun bentuk orientasi seksual manusia</w:t>
      </w:r>
      <w:r>
        <w:rPr>
          <w:rFonts w:hint="default" w:ascii="Garamond" w:hAnsi="Garamond" w:cs="Garamond"/>
          <w:sz w:val="24"/>
          <w:szCs w:val="24"/>
        </w:rPr>
        <w:t xml:space="preserve"> h</w:t>
      </w:r>
      <w:r>
        <w:rPr>
          <w:rFonts w:hint="default" w:ascii="Garamond" w:hAnsi="Garamond" w:cs="Garamond"/>
          <w:sz w:val="24"/>
          <w:szCs w:val="24"/>
          <w:lang w:val="en"/>
        </w:rPr>
        <w:t>arus tetap mengedepankan perilaku seksual yang sehat, aman, dan bertanggung jawab.</w:t>
      </w:r>
      <w:r>
        <w:rPr>
          <w:rFonts w:hint="default" w:ascii="Garamond" w:hAnsi="Garamond" w:cs="Garamond"/>
          <w:sz w:val="24"/>
          <w:szCs w:val="24"/>
        </w:rPr>
        <w:t xml:space="preserve"> Peneitian Royhan Firdaus tersebut tidak melakukan analisis komparatif antara pemikiran Musdah dan Huzaimah tentang homoseksual melalui pendekatan kaidah fikih.  </w:t>
      </w:r>
      <w:r>
        <w:rPr>
          <w:rFonts w:hint="default" w:ascii="Garamond" w:hAnsi="Garamond" w:eastAsia="SimSun" w:cs="Garamond"/>
          <w:sz w:val="24"/>
          <w:szCs w:val="24"/>
          <w:vertAlign w:val="superscript"/>
        </w:rPr>
        <w:footnoteReference w:id="5"/>
      </w:r>
    </w:p>
    <w:p>
      <w:pPr>
        <w:spacing w:beforeLines="0" w:afterLines="0" w:line="360" w:lineRule="auto"/>
        <w:ind w:firstLine="720"/>
        <w:jc w:val="both"/>
        <w:rPr>
          <w:rFonts w:hint="default" w:ascii="Garamond" w:hAnsi="Garamond" w:cs="Garamond"/>
          <w:sz w:val="24"/>
          <w:szCs w:val="24"/>
        </w:rPr>
      </w:pPr>
      <w:r>
        <w:rPr>
          <w:rFonts w:hint="default" w:ascii="Garamond" w:hAnsi="Garamond" w:cs="Garamond"/>
          <w:sz w:val="24"/>
          <w:szCs w:val="24"/>
        </w:rPr>
        <w:t xml:space="preserve">Penelitian Royhan Firdausy di atas paralel dengan penelitian selanjutnya, yakni penelitian oleh </w:t>
      </w:r>
      <w:r>
        <w:rPr>
          <w:rFonts w:hint="default" w:ascii="Garamond" w:hAnsi="Garamond" w:cs="Garamond"/>
          <w:sz w:val="24"/>
          <w:szCs w:val="24"/>
          <w:lang w:val="en"/>
        </w:rPr>
        <w:t>Nur Rofiah, Abd. Muid N, dan Ahmad Royhan Firdausy</w:t>
      </w:r>
      <w:r>
        <w:rPr>
          <w:rFonts w:hint="default" w:ascii="Garamond" w:hAnsi="Garamond" w:cs="Garamond"/>
          <w:sz w:val="24"/>
          <w:szCs w:val="24"/>
        </w:rPr>
        <w:t xml:space="preserve"> (2018) yang mengungkap bahwa m</w:t>
      </w:r>
      <w:r>
        <w:rPr>
          <w:rFonts w:hint="default" w:ascii="Garamond" w:hAnsi="Garamond" w:cs="Garamond"/>
          <w:sz w:val="24"/>
          <w:szCs w:val="24"/>
          <w:lang w:val="en"/>
        </w:rPr>
        <w:t xml:space="preserve">etode </w:t>
      </w:r>
      <w:r>
        <w:rPr>
          <w:rFonts w:hint="default" w:ascii="Garamond" w:hAnsi="Garamond" w:cs="Garamond"/>
          <w:sz w:val="24"/>
          <w:szCs w:val="24"/>
        </w:rPr>
        <w:t>penafsiran</w:t>
      </w:r>
      <w:r>
        <w:rPr>
          <w:rFonts w:hint="default" w:ascii="Garamond" w:hAnsi="Garamond" w:cs="Garamond"/>
          <w:sz w:val="24"/>
          <w:szCs w:val="24"/>
          <w:lang w:val="en"/>
        </w:rPr>
        <w:t xml:space="preserve"> Musdah Mulia </w:t>
      </w:r>
      <w:r>
        <w:rPr>
          <w:rFonts w:hint="default" w:ascii="Garamond" w:hAnsi="Garamond" w:cs="Garamond"/>
          <w:sz w:val="24"/>
          <w:szCs w:val="24"/>
        </w:rPr>
        <w:t xml:space="preserve">terkait ketentuan hukum homoseksual. Penelitian Nur Rofiah dkk tersebut menyatakan bahwa Musdah menggunakan metode penafsiran tematik </w:t>
      </w:r>
      <w:r>
        <w:rPr>
          <w:rFonts w:hint="default" w:ascii="Garamond" w:hAnsi="Garamond" w:cs="Garamond"/>
          <w:sz w:val="24"/>
          <w:szCs w:val="24"/>
          <w:lang w:val="en"/>
        </w:rPr>
        <w:t>(</w:t>
      </w:r>
      <w:r>
        <w:rPr>
          <w:rFonts w:hint="default" w:ascii="Garamond" w:hAnsi="Garamond" w:cs="Garamond"/>
          <w:i/>
          <w:sz w:val="24"/>
          <w:szCs w:val="24"/>
          <w:lang w:val="en"/>
        </w:rPr>
        <w:t>maudhu’i</w:t>
      </w:r>
      <w:r>
        <w:rPr>
          <w:rFonts w:hint="default" w:ascii="Garamond" w:hAnsi="Garamond" w:cs="Garamond"/>
          <w:sz w:val="24"/>
          <w:szCs w:val="24"/>
          <w:lang w:val="en"/>
        </w:rPr>
        <w:t>)</w:t>
      </w:r>
      <w:r>
        <w:rPr>
          <w:rFonts w:hint="default" w:ascii="Garamond" w:hAnsi="Garamond" w:cs="Garamond"/>
          <w:sz w:val="24"/>
          <w:szCs w:val="24"/>
        </w:rPr>
        <w:t xml:space="preserve"> dengan corak</w:t>
      </w:r>
      <w:r>
        <w:rPr>
          <w:rFonts w:hint="default" w:ascii="Garamond" w:hAnsi="Garamond" w:cs="Garamond"/>
          <w:sz w:val="24"/>
          <w:szCs w:val="24"/>
          <w:lang w:val="en"/>
        </w:rPr>
        <w:t xml:space="preserve"> holistik </w:t>
      </w:r>
      <w:r>
        <w:rPr>
          <w:rFonts w:hint="default" w:ascii="Garamond" w:hAnsi="Garamond" w:cs="Garamond"/>
          <w:sz w:val="24"/>
          <w:szCs w:val="24"/>
        </w:rPr>
        <w:t>yakni mencakup berbagai pendekatan disiplin</w:t>
      </w:r>
      <w:r>
        <w:rPr>
          <w:rFonts w:hint="default" w:ascii="Garamond" w:hAnsi="Garamond" w:cs="Garamond"/>
          <w:sz w:val="24"/>
          <w:szCs w:val="24"/>
          <w:lang w:val="en"/>
        </w:rPr>
        <w:t xml:space="preserve"> ilmu</w:t>
      </w:r>
      <w:r>
        <w:rPr>
          <w:rFonts w:hint="default" w:ascii="Garamond" w:hAnsi="Garamond" w:cs="Garamond"/>
          <w:sz w:val="24"/>
          <w:szCs w:val="24"/>
        </w:rPr>
        <w:t xml:space="preserve"> lain, antara lain</w:t>
      </w:r>
      <w:r>
        <w:rPr>
          <w:rFonts w:hint="default" w:ascii="Garamond" w:hAnsi="Garamond" w:cs="Garamond"/>
          <w:sz w:val="24"/>
          <w:szCs w:val="24"/>
          <w:lang w:val="en"/>
        </w:rPr>
        <w:t xml:space="preserve"> ushul fiqh,  ilmu filsafat, sosial dan sains, </w:t>
      </w:r>
      <w:r>
        <w:rPr>
          <w:rFonts w:hint="default" w:ascii="Garamond" w:hAnsi="Garamond" w:cs="Garamond"/>
          <w:sz w:val="24"/>
          <w:szCs w:val="24"/>
        </w:rPr>
        <w:t>serta pendekatan kontekstualisasi sosio-historis penafsiran</w:t>
      </w:r>
      <w:r>
        <w:rPr>
          <w:rFonts w:hint="default" w:ascii="Garamond" w:hAnsi="Garamond" w:cs="Garamond"/>
          <w:sz w:val="24"/>
          <w:szCs w:val="24"/>
          <w:lang w:val="en"/>
        </w:rPr>
        <w:t>.</w:t>
      </w:r>
      <w:r>
        <w:rPr>
          <w:rFonts w:hint="default" w:ascii="Garamond" w:hAnsi="Garamond" w:cs="Garamond"/>
          <w:sz w:val="24"/>
          <w:szCs w:val="24"/>
          <w:vertAlign w:val="superscript"/>
          <w:lang w:val="en"/>
        </w:rPr>
        <w:footnoteReference w:id="6"/>
      </w:r>
      <w:r>
        <w:rPr>
          <w:rFonts w:hint="default" w:ascii="Garamond" w:hAnsi="Garamond" w:cs="Garamond"/>
          <w:sz w:val="24"/>
          <w:szCs w:val="24"/>
        </w:rPr>
        <w:t xml:space="preserve"> Penelitian Royhan Firdausy dan penelitian Nur Rofiah dkk memiliki titik fokus objek sekaligus pendekatan yang sama yakni terkait metode penafsiran Musdah Mulia.</w:t>
      </w:r>
    </w:p>
    <w:p>
      <w:pPr>
        <w:spacing w:beforeLines="0" w:afterLines="0" w:line="360" w:lineRule="auto"/>
        <w:ind w:firstLine="720"/>
        <w:jc w:val="both"/>
        <w:rPr>
          <w:rFonts w:hint="default" w:ascii="Garamond" w:hAnsi="Garamond" w:cs="Garamond"/>
          <w:sz w:val="24"/>
          <w:szCs w:val="24"/>
        </w:rPr>
      </w:pPr>
      <w:r>
        <w:rPr>
          <w:rFonts w:hint="default" w:ascii="Garamond" w:hAnsi="Garamond" w:cs="Garamond"/>
          <w:sz w:val="24"/>
          <w:szCs w:val="24"/>
        </w:rPr>
        <w:t>Berikutnya, penelitian Fathonah K. Daud  (2019) yang mengatakan berdasarkan analisis terhadap pendapat Musdah Mulia, baik di ruang media sosialnya maupun di karyanya dapat dikatakan bahwa Musdah menilai homoseksual merupakan hal yang bersifat kodrati atas kehendak Tuhan bukan pilihan manusia. Oleh sebab itu, mereka harus dihormati dan dihargai selama tidak melakukanpelbagai prilaku yang menyimpang dalam agama maupun negara.</w:t>
      </w:r>
      <w:r>
        <w:rPr>
          <w:rFonts w:hint="default" w:ascii="Garamond" w:hAnsi="Garamond" w:eastAsia="SimSun" w:cs="Garamond"/>
          <w:sz w:val="24"/>
          <w:szCs w:val="24"/>
          <w:vertAlign w:val="superscript"/>
        </w:rPr>
        <w:footnoteReference w:id="7"/>
      </w:r>
      <w:r>
        <w:rPr>
          <w:rFonts w:hint="default" w:ascii="Garamond" w:hAnsi="Garamond" w:cs="Garamond"/>
          <w:sz w:val="24"/>
          <w:szCs w:val="24"/>
        </w:rPr>
        <w:t xml:space="preserve"> </w:t>
      </w:r>
    </w:p>
    <w:p>
      <w:pPr>
        <w:spacing w:beforeLines="0" w:afterLines="0" w:line="360" w:lineRule="auto"/>
        <w:ind w:firstLine="720"/>
        <w:jc w:val="both"/>
        <w:rPr>
          <w:rFonts w:hint="default" w:ascii="Garamond" w:hAnsi="Garamond" w:cs="Garamond"/>
          <w:sz w:val="24"/>
          <w:szCs w:val="24"/>
        </w:rPr>
      </w:pPr>
      <w:r>
        <w:rPr>
          <w:rFonts w:hint="default" w:ascii="Garamond" w:hAnsi="Garamond" w:cs="Garamond"/>
          <w:sz w:val="24"/>
          <w:szCs w:val="24"/>
        </w:rPr>
        <w:t>Berpijak dari beberapa penelitian terdahulu di atas belum ditemukan penelitian yang melakukan analisis komparatif atas distingsi pemikiran hukum Islam Musdah Mulia dengan Huza</w:t>
      </w:r>
      <w:r>
        <w:rPr>
          <w:rFonts w:hint="default" w:ascii="Garamond" w:hAnsi="Garamond" w:cs="Garamond"/>
          <w:sz w:val="24"/>
          <w:szCs w:val="24"/>
          <w:lang w:val="en-US"/>
        </w:rPr>
        <w:t>em</w:t>
      </w:r>
      <w:r>
        <w:rPr>
          <w:rFonts w:hint="default" w:ascii="Garamond" w:hAnsi="Garamond" w:cs="Garamond"/>
          <w:sz w:val="24"/>
          <w:szCs w:val="24"/>
        </w:rPr>
        <w:t xml:space="preserve">ah Tahido Yanggo tentang </w:t>
      </w:r>
      <w:r>
        <w:rPr>
          <w:rFonts w:hint="default" w:ascii="Garamond" w:hAnsi="Garamond" w:cs="Garamond"/>
          <w:sz w:val="24"/>
          <w:szCs w:val="24"/>
          <w:lang w:val="en-US"/>
        </w:rPr>
        <w:t>homoseksual</w:t>
      </w:r>
      <w:r>
        <w:rPr>
          <w:rFonts w:hint="default" w:ascii="Garamond" w:hAnsi="Garamond" w:cs="Garamond"/>
          <w:sz w:val="24"/>
          <w:szCs w:val="24"/>
        </w:rPr>
        <w:t xml:space="preserve"> melalui pendekatan kaidah-kaidah hukum Islam (</w:t>
      </w:r>
      <w:r>
        <w:rPr>
          <w:rFonts w:hint="default" w:ascii="Garamond" w:hAnsi="Garamond" w:cs="Garamond"/>
          <w:i/>
          <w:sz w:val="24"/>
          <w:szCs w:val="24"/>
        </w:rPr>
        <w:t>qowaid fiqhiyah</w:t>
      </w:r>
      <w:r>
        <w:rPr>
          <w:rFonts w:hint="default" w:ascii="Garamond" w:hAnsi="Garamond" w:cs="Garamond"/>
          <w:sz w:val="24"/>
          <w:szCs w:val="24"/>
        </w:rPr>
        <w:t>). Fokus dan pendakatan tersebutlah yang kemudian menjadi distingsi penelitian ini dari pelbagai penelitian yang sudah ada sebelumnya.</w:t>
      </w:r>
    </w:p>
    <w:p>
      <w:pPr>
        <w:spacing w:beforeLines="0" w:afterLines="0" w:line="360" w:lineRule="auto"/>
        <w:jc w:val="both"/>
        <w:rPr>
          <w:rFonts w:hint="default" w:ascii="Garamond" w:hAnsi="Garamond" w:cs="Garamond"/>
          <w:b/>
          <w:sz w:val="24"/>
          <w:szCs w:val="24"/>
        </w:rPr>
      </w:pPr>
      <w:r>
        <w:rPr>
          <w:rFonts w:hint="default" w:ascii="Garamond" w:hAnsi="Garamond" w:cs="Garamond"/>
          <w:b/>
          <w:sz w:val="24"/>
          <w:szCs w:val="24"/>
        </w:rPr>
        <w:t>Metode Penelitian</w:t>
      </w:r>
    </w:p>
    <w:p>
      <w:pPr>
        <w:spacing w:beforeLines="0" w:afterLines="0" w:line="360" w:lineRule="auto"/>
        <w:ind w:firstLine="720" w:firstLineChars="0"/>
        <w:jc w:val="both"/>
        <w:rPr>
          <w:rFonts w:hint="default" w:ascii="Garamond" w:hAnsi="Garamond" w:cs="Garamond"/>
          <w:sz w:val="24"/>
          <w:szCs w:val="24"/>
        </w:rPr>
      </w:pPr>
      <w:r>
        <w:rPr>
          <w:rFonts w:hint="default" w:ascii="Garamond" w:hAnsi="Garamond" w:cs="Garamond"/>
          <w:sz w:val="24"/>
          <w:szCs w:val="24"/>
        </w:rPr>
        <w:t>Penelitian kualitataif berupa studi pustaka ini bermaksud untuk melakukan analisis komparataif terhadap pandangan Musdah Mulia dan Huza</w:t>
      </w:r>
      <w:r>
        <w:rPr>
          <w:rFonts w:hint="default" w:ascii="Garamond" w:hAnsi="Garamond" w:cs="Garamond"/>
          <w:sz w:val="24"/>
          <w:szCs w:val="24"/>
          <w:lang w:val="en-US"/>
        </w:rPr>
        <w:t>em</w:t>
      </w:r>
      <w:r>
        <w:rPr>
          <w:rFonts w:hint="default" w:ascii="Garamond" w:hAnsi="Garamond" w:cs="Garamond"/>
          <w:sz w:val="24"/>
          <w:szCs w:val="24"/>
        </w:rPr>
        <w:t>ah Tahido Yanggo tentang homoseksual melalui pendekatan lima kaidah hukum Islam universal (</w:t>
      </w:r>
      <w:r>
        <w:rPr>
          <w:rFonts w:hint="default" w:ascii="Garamond" w:hAnsi="Garamond" w:cs="Garamond"/>
          <w:i/>
          <w:sz w:val="24"/>
          <w:szCs w:val="24"/>
        </w:rPr>
        <w:t>al-Qawaid al-Kuliiyat al-Khomsah</w:t>
      </w:r>
      <w:r>
        <w:rPr>
          <w:rFonts w:hint="default" w:ascii="Garamond" w:hAnsi="Garamond" w:cs="Garamond"/>
          <w:sz w:val="24"/>
          <w:szCs w:val="24"/>
        </w:rPr>
        <w:t xml:space="preserve">). Teori pendukung yang digunakan sebagai teori analisis dalam penelitian ini, antara lain </w:t>
      </w:r>
      <w:r>
        <w:rPr>
          <w:rFonts w:hint="default" w:ascii="Garamond" w:hAnsi="Garamond" w:cs="Garamond"/>
          <w:i/>
          <w:sz w:val="24"/>
          <w:szCs w:val="24"/>
        </w:rPr>
        <w:t>maqashid shariah</w:t>
      </w:r>
      <w:r>
        <w:rPr>
          <w:rFonts w:hint="default" w:ascii="Garamond" w:hAnsi="Garamond" w:cs="Garamond"/>
          <w:sz w:val="24"/>
          <w:szCs w:val="24"/>
        </w:rPr>
        <w:t xml:space="preserve"> dan berbagai teori ushul fikih. Sementara itu, jenis penelitian hukum Islam ini menggunakan  pendekatan normatif-filosofis.</w:t>
      </w:r>
      <w:r>
        <w:rPr>
          <w:rStyle w:val="11"/>
          <w:rFonts w:hint="default" w:ascii="Garamond" w:hAnsi="Garamond" w:cs="Garamond"/>
          <w:sz w:val="24"/>
          <w:szCs w:val="24"/>
        </w:rPr>
        <w:footnoteReference w:id="8"/>
      </w:r>
      <w:r>
        <w:rPr>
          <w:rFonts w:hint="default" w:ascii="Garamond" w:hAnsi="Garamond" w:cs="Garamond"/>
          <w:sz w:val="24"/>
          <w:szCs w:val="24"/>
        </w:rPr>
        <w:t xml:space="preserve"> Data utama penelitian berupa karya ilmiah Musdah Mulia yang berjudul  </w:t>
      </w:r>
      <w:r>
        <w:rPr>
          <w:rFonts w:hint="default" w:ascii="Garamond" w:hAnsi="Garamond" w:cs="Garamond"/>
          <w:i/>
          <w:sz w:val="24"/>
          <w:szCs w:val="24"/>
          <w:lang w:val="id-ID"/>
        </w:rPr>
        <w:t>Membangun Surga di Bumi; Kiat-kiat Membangun keluarga Ideal dalam Islam</w:t>
      </w:r>
      <w:r>
        <w:rPr>
          <w:rFonts w:hint="default" w:ascii="Garamond" w:hAnsi="Garamond" w:cs="Garamond"/>
          <w:sz w:val="24"/>
          <w:szCs w:val="24"/>
          <w:lang w:val="id-ID"/>
        </w:rPr>
        <w:t xml:space="preserve"> 2011)</w:t>
      </w:r>
      <w:r>
        <w:rPr>
          <w:rFonts w:hint="default" w:ascii="Garamond" w:hAnsi="Garamond" w:cs="Garamond"/>
          <w:sz w:val="24"/>
          <w:szCs w:val="24"/>
        </w:rPr>
        <w:t xml:space="preserve"> dan Karya ilmiah Huza</w:t>
      </w:r>
      <w:r>
        <w:rPr>
          <w:rFonts w:hint="default" w:ascii="Garamond" w:hAnsi="Garamond" w:cs="Garamond"/>
          <w:sz w:val="24"/>
          <w:szCs w:val="24"/>
          <w:lang w:val="en-US"/>
        </w:rPr>
        <w:t>em</w:t>
      </w:r>
      <w:r>
        <w:rPr>
          <w:rFonts w:hint="default" w:ascii="Garamond" w:hAnsi="Garamond" w:cs="Garamond"/>
          <w:sz w:val="24"/>
          <w:szCs w:val="24"/>
        </w:rPr>
        <w:t xml:space="preserve">ah Tahido Yanggo yang berjudul </w:t>
      </w:r>
      <w:r>
        <w:rPr>
          <w:rFonts w:hint="default" w:ascii="Garamond" w:hAnsi="Garamond" w:cs="Garamond"/>
          <w:sz w:val="24"/>
          <w:szCs w:val="24"/>
          <w:lang w:val="en"/>
        </w:rPr>
        <w:t>Penyimpangan Seksual (L</w:t>
      </w:r>
      <w:r>
        <w:rPr>
          <w:rFonts w:hint="default" w:ascii="Garamond" w:hAnsi="Garamond" w:cs="Garamond"/>
          <w:sz w:val="24"/>
          <w:szCs w:val="24"/>
        </w:rPr>
        <w:t>GBT</w:t>
      </w:r>
      <w:r>
        <w:rPr>
          <w:rFonts w:hint="default" w:ascii="Garamond" w:hAnsi="Garamond" w:cs="Garamond"/>
          <w:sz w:val="24"/>
          <w:szCs w:val="24"/>
          <w:lang w:val="en"/>
        </w:rPr>
        <w:t xml:space="preserve">) </w:t>
      </w:r>
      <w:r>
        <w:rPr>
          <w:rFonts w:hint="default" w:ascii="Garamond" w:hAnsi="Garamond" w:cs="Garamond"/>
          <w:sz w:val="24"/>
          <w:szCs w:val="24"/>
        </w:rPr>
        <w:t>d</w:t>
      </w:r>
      <w:r>
        <w:rPr>
          <w:rFonts w:hint="default" w:ascii="Garamond" w:hAnsi="Garamond" w:cs="Garamond"/>
          <w:sz w:val="24"/>
          <w:szCs w:val="24"/>
          <w:lang w:val="en"/>
        </w:rPr>
        <w:t>alam Pandangan Hukum Islam</w:t>
      </w:r>
      <w:r>
        <w:rPr>
          <w:rFonts w:hint="default" w:ascii="Garamond" w:hAnsi="Garamond" w:cs="Garamond"/>
          <w:sz w:val="24"/>
          <w:szCs w:val="24"/>
        </w:rPr>
        <w:t xml:space="preserve"> (2</w:t>
      </w:r>
      <w:r>
        <w:rPr>
          <w:rFonts w:hint="default" w:ascii="Garamond" w:hAnsi="Garamond" w:cs="Garamond"/>
          <w:sz w:val="24"/>
          <w:szCs w:val="24"/>
          <w:lang w:val="en"/>
        </w:rPr>
        <w:t>018</w:t>
      </w:r>
      <w:r>
        <w:rPr>
          <w:rFonts w:hint="default" w:ascii="Garamond" w:hAnsi="Garamond" w:cs="Garamond"/>
          <w:sz w:val="24"/>
          <w:szCs w:val="24"/>
        </w:rPr>
        <w:t>).</w:t>
      </w:r>
      <w:r>
        <w:rPr>
          <w:rFonts w:hint="default" w:ascii="Garamond" w:hAnsi="Garamond" w:cs="Garamond"/>
          <w:sz w:val="24"/>
          <w:szCs w:val="24"/>
          <w:lang w:val="en"/>
        </w:rPr>
        <w:t xml:space="preserve"> </w:t>
      </w:r>
      <w:r>
        <w:rPr>
          <w:rFonts w:hint="default" w:ascii="Garamond" w:hAnsi="Garamond" w:cs="Garamond"/>
          <w:sz w:val="24"/>
          <w:szCs w:val="24"/>
        </w:rPr>
        <w:t>Data sekunder menggunakan pelbagai penelitian ilmiah yang relevan dengan objek pokok penelitian ini.antara lain buku, jurnal, tesis maupun disertasi.</w:t>
      </w:r>
      <w:r>
        <w:rPr>
          <w:rFonts w:hint="default" w:ascii="Garamond" w:hAnsi="Garamond" w:cs="Garamond"/>
          <w:sz w:val="24"/>
          <w:szCs w:val="24"/>
          <w:lang w:val="zh-CN"/>
        </w:rPr>
        <w:t xml:space="preserve"> S</w:t>
      </w:r>
      <w:r>
        <w:rPr>
          <w:rFonts w:hint="default" w:ascii="Garamond" w:hAnsi="Garamond" w:cs="Garamond"/>
          <w:sz w:val="24"/>
          <w:szCs w:val="24"/>
        </w:rPr>
        <w:t>ifat pendekatan penelitian ini deskriptif-analitik</w:t>
      </w:r>
      <w:r>
        <w:rPr>
          <w:rFonts w:hint="default" w:ascii="Garamond" w:hAnsi="Garamond" w:cs="Garamond"/>
          <w:sz w:val="24"/>
          <w:szCs w:val="24"/>
          <w:lang w:val="zh-CN"/>
        </w:rPr>
        <w:t>.</w:t>
      </w:r>
      <w:r>
        <w:rPr>
          <w:rFonts w:hint="default" w:ascii="Garamond" w:hAnsi="Garamond" w:cs="Garamond"/>
          <w:sz w:val="24"/>
          <w:szCs w:val="24"/>
        </w:rPr>
        <w:t xml:space="preserve"> Dalam</w:t>
      </w:r>
      <w:r>
        <w:rPr>
          <w:rFonts w:hint="default" w:ascii="Garamond" w:hAnsi="Garamond" w:cs="Garamond"/>
          <w:sz w:val="24"/>
          <w:szCs w:val="24"/>
          <w:lang w:val="zh-CN"/>
        </w:rPr>
        <w:t xml:space="preserve"> langkahnya, p</w:t>
      </w:r>
      <w:r>
        <w:rPr>
          <w:rFonts w:hint="default" w:ascii="Garamond" w:hAnsi="Garamond" w:cs="Garamond"/>
          <w:sz w:val="24"/>
          <w:szCs w:val="24"/>
        </w:rPr>
        <w:t xml:space="preserve">enulis </w:t>
      </w:r>
      <w:r>
        <w:rPr>
          <w:rFonts w:hint="default" w:ascii="Garamond" w:hAnsi="Garamond" w:cs="Garamond"/>
          <w:sz w:val="24"/>
          <w:szCs w:val="24"/>
          <w:lang w:val="zh-CN"/>
        </w:rPr>
        <w:t>mendokumentasikan</w:t>
      </w:r>
      <w:r>
        <w:rPr>
          <w:rFonts w:hint="default" w:ascii="Garamond" w:hAnsi="Garamond" w:cs="Garamond"/>
          <w:sz w:val="24"/>
          <w:szCs w:val="24"/>
        </w:rPr>
        <w:t xml:space="preserve"> berbagai data literatur </w:t>
      </w:r>
      <w:r>
        <w:rPr>
          <w:rFonts w:hint="default" w:ascii="Garamond" w:hAnsi="Garamond" w:cs="Garamond"/>
          <w:sz w:val="24"/>
          <w:szCs w:val="24"/>
          <w:lang w:val="zh-CN"/>
        </w:rPr>
        <w:t>terkait</w:t>
      </w:r>
      <w:r>
        <w:rPr>
          <w:rFonts w:hint="default" w:ascii="Garamond" w:hAnsi="Garamond" w:cs="Garamond"/>
          <w:sz w:val="24"/>
          <w:szCs w:val="24"/>
        </w:rPr>
        <w:t xml:space="preserve"> objek pokok </w:t>
      </w:r>
      <w:r>
        <w:rPr>
          <w:rFonts w:hint="default" w:ascii="Garamond" w:hAnsi="Garamond" w:cs="Garamond"/>
          <w:sz w:val="24"/>
          <w:szCs w:val="24"/>
          <w:lang w:val="zh-CN"/>
        </w:rPr>
        <w:t>penelitian.</w:t>
      </w:r>
      <w:r>
        <w:rPr>
          <w:rFonts w:hint="default" w:ascii="Garamond" w:hAnsi="Garamond" w:cs="Garamond"/>
          <w:sz w:val="24"/>
          <w:szCs w:val="24"/>
        </w:rPr>
        <w:t xml:space="preserve"> Sesudah data terkumpul,</w:t>
      </w:r>
      <w:r>
        <w:rPr>
          <w:rFonts w:hint="default" w:ascii="Garamond" w:hAnsi="Garamond" w:cs="Garamond"/>
          <w:sz w:val="24"/>
          <w:szCs w:val="24"/>
          <w:lang w:val="zh-CN"/>
        </w:rPr>
        <w:t xml:space="preserve"> </w:t>
      </w:r>
      <w:r>
        <w:rPr>
          <w:rFonts w:hint="default" w:ascii="Garamond" w:hAnsi="Garamond" w:cs="Garamond"/>
          <w:sz w:val="24"/>
          <w:szCs w:val="24"/>
        </w:rPr>
        <w:t xml:space="preserve">tahap berikutnya, yakni </w:t>
      </w:r>
      <w:r>
        <w:rPr>
          <w:rFonts w:hint="default" w:ascii="Garamond" w:hAnsi="Garamond" w:cs="Garamond"/>
          <w:sz w:val="24"/>
          <w:szCs w:val="24"/>
          <w:lang w:val="zh-CN"/>
        </w:rPr>
        <w:t>teknik analisa data.</w:t>
      </w:r>
      <w:r>
        <w:rPr>
          <w:rFonts w:hint="default" w:ascii="Garamond" w:hAnsi="Garamond" w:cs="Garamond"/>
          <w:sz w:val="24"/>
          <w:szCs w:val="24"/>
        </w:rPr>
        <w:t xml:space="preserve"> Pada teknik analisia data ini ada tiga tahapan, yakni reduksi data, penyajian data, serta </w:t>
      </w:r>
      <w:r>
        <w:rPr>
          <w:rFonts w:hint="default" w:ascii="Garamond" w:hAnsi="Garamond" w:cs="Garamond"/>
          <w:sz w:val="24"/>
          <w:szCs w:val="24"/>
          <w:lang w:val="zh-CN"/>
        </w:rPr>
        <w:t>verifikasi data</w:t>
      </w:r>
      <w:r>
        <w:rPr>
          <w:rFonts w:hint="default" w:ascii="Garamond" w:hAnsi="Garamond" w:cs="Garamond"/>
          <w:sz w:val="24"/>
          <w:szCs w:val="24"/>
        </w:rPr>
        <w:t>.</w:t>
      </w:r>
    </w:p>
    <w:p>
      <w:pPr>
        <w:spacing w:beforeLines="0" w:afterLines="0" w:line="360" w:lineRule="auto"/>
        <w:jc w:val="both"/>
        <w:rPr>
          <w:rFonts w:hint="default" w:ascii="Garamond" w:hAnsi="Garamond" w:cs="Garamond"/>
          <w:b/>
          <w:sz w:val="24"/>
          <w:szCs w:val="24"/>
        </w:rPr>
      </w:pPr>
      <w:r>
        <w:rPr>
          <w:rFonts w:hint="default" w:ascii="Garamond" w:hAnsi="Garamond" w:cs="Garamond"/>
          <w:b/>
          <w:sz w:val="24"/>
          <w:szCs w:val="24"/>
        </w:rPr>
        <w:t>Hasil dan Pembahasan</w:t>
      </w:r>
    </w:p>
    <w:p>
      <w:pPr>
        <w:shd w:val="clear" w:color="auto" w:fill="FFFFFF"/>
        <w:spacing w:beforeLines="0" w:afterLines="0" w:line="360" w:lineRule="auto"/>
        <w:jc w:val="both"/>
        <w:rPr>
          <w:rFonts w:hint="default" w:ascii="Garamond" w:hAnsi="Garamond" w:cs="Garamond"/>
          <w:b/>
          <w:sz w:val="24"/>
          <w:szCs w:val="24"/>
        </w:rPr>
      </w:pPr>
      <w:r>
        <w:rPr>
          <w:rFonts w:hint="default" w:ascii="Garamond" w:hAnsi="Garamond" w:cs="Garamond"/>
          <w:b/>
          <w:i/>
          <w:sz w:val="24"/>
          <w:szCs w:val="24"/>
        </w:rPr>
        <w:t>al-Qowaid al-Fiqhiyah</w:t>
      </w:r>
      <w:r>
        <w:rPr>
          <w:rFonts w:hint="default" w:ascii="Garamond" w:hAnsi="Garamond" w:cs="Garamond"/>
          <w:b/>
          <w:sz w:val="24"/>
          <w:szCs w:val="24"/>
        </w:rPr>
        <w:t xml:space="preserve"> Sebagai Solusi Atas Kompleksitas Problematika Hukum Islam  </w:t>
      </w:r>
    </w:p>
    <w:p>
      <w:pPr>
        <w:autoSpaceDE w:val="0"/>
        <w:autoSpaceDN w:val="0"/>
        <w:adjustRightInd w:val="0"/>
        <w:spacing w:beforeLines="0" w:afterLines="0" w:line="360" w:lineRule="auto"/>
        <w:ind w:firstLine="720"/>
        <w:jc w:val="both"/>
        <w:rPr>
          <w:rFonts w:hint="default" w:ascii="Garamond" w:hAnsi="Garamond" w:cs="Garamond"/>
          <w:sz w:val="24"/>
          <w:szCs w:val="24"/>
        </w:rPr>
      </w:pPr>
      <w:r>
        <w:rPr>
          <w:rFonts w:hint="default" w:ascii="Garamond" w:hAnsi="Garamond" w:cs="Garamond"/>
          <w:sz w:val="24"/>
          <w:szCs w:val="24"/>
        </w:rPr>
        <w:t>Untuk menjawab kompleksitas persoalan hukum Islam yang senantiasa berkembang, terlebih terksait persoalan yang tidak disentuh secara eksplisit oleh sumber utama hukum Islam (al-Qur’an-Hadis), maka peran ijtihad dengan menggunakan pelbagai kaidah yang didasari kedua sumber hukum Islam menjadi hal niscaya</w:t>
      </w:r>
      <w:r>
        <w:rPr>
          <w:rFonts w:hint="default" w:ascii="Garamond" w:hAnsi="Garamond" w:eastAsia="SimSun" w:cs="Garamond"/>
          <w:sz w:val="24"/>
          <w:szCs w:val="24"/>
          <w:vertAlign w:val="superscript"/>
        </w:rPr>
        <w:footnoteReference w:id="9"/>
      </w:r>
      <w:r>
        <w:rPr>
          <w:rFonts w:hint="default" w:ascii="Garamond" w:hAnsi="Garamond" w:cs="Garamond"/>
          <w:sz w:val="24"/>
          <w:szCs w:val="24"/>
        </w:rPr>
        <w:t xml:space="preserve"> Pada konteks ini, keberadaan salah satu pilar dalam metodologi hukum Islam, yakni </w:t>
      </w:r>
      <w:r>
        <w:rPr>
          <w:rFonts w:hint="default" w:ascii="Garamond" w:hAnsi="Garamond" w:cs="Garamond"/>
          <w:i/>
          <w:sz w:val="24"/>
          <w:szCs w:val="24"/>
        </w:rPr>
        <w:t xml:space="preserve">al-qawaid al-fiqhiyyah </w:t>
      </w:r>
      <w:r>
        <w:rPr>
          <w:rFonts w:hint="default" w:ascii="Garamond" w:hAnsi="Garamond" w:cs="Garamond"/>
          <w:sz w:val="24"/>
          <w:szCs w:val="24"/>
        </w:rPr>
        <w:t>(kaidah-kaidah fikih) dapat digunakan sebagai perangkat metode dalam menyelesaikan problemtaika hukum yang dinamis tersebut.</w:t>
      </w:r>
      <w:r>
        <w:rPr>
          <w:rFonts w:hint="default" w:ascii="Garamond" w:hAnsi="Garamond" w:eastAsia="SimSun" w:cs="Garamond"/>
          <w:sz w:val="24"/>
          <w:szCs w:val="24"/>
          <w:vertAlign w:val="superscript"/>
        </w:rPr>
        <w:footnoteReference w:id="10"/>
      </w:r>
    </w:p>
    <w:p>
      <w:pPr>
        <w:autoSpaceDE w:val="0"/>
        <w:autoSpaceDN w:val="0"/>
        <w:adjustRightInd w:val="0"/>
        <w:spacing w:beforeLines="0" w:afterLines="0" w:line="360" w:lineRule="auto"/>
        <w:ind w:firstLine="720"/>
        <w:jc w:val="both"/>
        <w:rPr>
          <w:rFonts w:hint="default" w:ascii="Garamond" w:hAnsi="Garamond" w:cs="Garamond"/>
          <w:sz w:val="24"/>
          <w:szCs w:val="24"/>
        </w:rPr>
      </w:pPr>
      <w:r>
        <w:rPr>
          <w:rFonts w:hint="default" w:ascii="Garamond" w:hAnsi="Garamond" w:cs="Garamond"/>
          <w:sz w:val="24"/>
          <w:szCs w:val="24"/>
        </w:rPr>
        <w:t xml:space="preserve">Secara umum, keberadaan pelbagai kaidah fiqh  dibagi dalam tiga level. </w:t>
      </w:r>
      <w:r>
        <w:rPr>
          <w:rFonts w:hint="default" w:ascii="Garamond" w:hAnsi="Garamond" w:cs="Garamond"/>
          <w:i/>
          <w:sz w:val="24"/>
          <w:szCs w:val="24"/>
        </w:rPr>
        <w:t xml:space="preserve">Pertama, </w:t>
      </w:r>
      <w:r>
        <w:rPr>
          <w:rFonts w:hint="default" w:ascii="Garamond" w:hAnsi="Garamond" w:cs="Garamond"/>
          <w:sz w:val="24"/>
          <w:szCs w:val="24"/>
        </w:rPr>
        <w:t>kaidah-kaidah fiqh induk (</w:t>
      </w:r>
      <w:r>
        <w:rPr>
          <w:rFonts w:hint="default" w:ascii="Garamond" w:hAnsi="Garamond" w:cs="Garamond"/>
          <w:i/>
          <w:sz w:val="24"/>
          <w:szCs w:val="24"/>
        </w:rPr>
        <w:t>al-qawaid al-fiqhiyah al-asasiyah</w:t>
      </w:r>
      <w:r>
        <w:rPr>
          <w:rFonts w:hint="default" w:ascii="Garamond" w:hAnsi="Garamond" w:cs="Garamond"/>
          <w:sz w:val="24"/>
          <w:szCs w:val="24"/>
        </w:rPr>
        <w:t xml:space="preserve">). Disebut sebagai kaidah fikih induk, karena pelbagai kaidah cabang mengacu kepadanya. </w:t>
      </w:r>
      <w:r>
        <w:rPr>
          <w:rFonts w:hint="default" w:ascii="Garamond" w:hAnsi="Garamond" w:cs="Garamond"/>
          <w:i/>
          <w:sz w:val="24"/>
          <w:szCs w:val="24"/>
        </w:rPr>
        <w:t xml:space="preserve">Kedua, </w:t>
      </w:r>
      <w:r>
        <w:rPr>
          <w:rFonts w:hint="default" w:ascii="Garamond" w:hAnsi="Garamond" w:cs="Garamond"/>
          <w:sz w:val="24"/>
          <w:szCs w:val="24"/>
        </w:rPr>
        <w:t xml:space="preserve">kaidah-kaidah fiqh cabang yang disepakati oleh mayoritas ulama. </w:t>
      </w:r>
      <w:r>
        <w:rPr>
          <w:rFonts w:hint="default" w:ascii="Garamond" w:hAnsi="Garamond" w:cs="Garamond"/>
          <w:i/>
          <w:sz w:val="24"/>
          <w:szCs w:val="24"/>
        </w:rPr>
        <w:t>Ketiga,</w:t>
      </w:r>
      <w:r>
        <w:rPr>
          <w:rFonts w:hint="default" w:ascii="Garamond" w:hAnsi="Garamond" w:cs="Garamond"/>
          <w:sz w:val="24"/>
          <w:szCs w:val="24"/>
        </w:rPr>
        <w:t>kaidah-kaidah fiqh cabang yang diperselisihkan oleh para ulama.</w:t>
      </w:r>
      <w:r>
        <w:rPr>
          <w:rFonts w:hint="default" w:ascii="Garamond" w:hAnsi="Garamond" w:eastAsia="SimSun" w:cs="Garamond"/>
          <w:sz w:val="24"/>
          <w:szCs w:val="24"/>
          <w:vertAlign w:val="superscript"/>
        </w:rPr>
        <w:footnoteReference w:id="11"/>
      </w:r>
      <w:r>
        <w:rPr>
          <w:rFonts w:hint="default" w:ascii="Garamond" w:hAnsi="Garamond" w:cs="Garamond"/>
          <w:sz w:val="24"/>
          <w:szCs w:val="24"/>
        </w:rPr>
        <w:t xml:space="preserve"> Pada sub pembahasan ini akan diuraikan lima kaidah fikih induk yang akan dijadikan sebagai teori analisis dalam penelitian ini. Uraian lebih lanjut sebagai berikut.</w:t>
      </w:r>
    </w:p>
    <w:p>
      <w:pPr>
        <w:autoSpaceDE w:val="0"/>
        <w:autoSpaceDN w:val="0"/>
        <w:adjustRightInd w:val="0"/>
        <w:spacing w:beforeLines="0" w:afterLines="0" w:line="360" w:lineRule="auto"/>
        <w:ind w:firstLine="720"/>
        <w:jc w:val="both"/>
        <w:rPr>
          <w:rFonts w:hint="default" w:ascii="Garamond" w:hAnsi="Garamond" w:cs="Garamond"/>
          <w:sz w:val="24"/>
          <w:szCs w:val="24"/>
        </w:rPr>
      </w:pPr>
      <w:r>
        <w:rPr>
          <w:rFonts w:hint="default" w:ascii="Garamond" w:hAnsi="Garamond" w:cs="Garamond"/>
          <w:sz w:val="24"/>
          <w:szCs w:val="24"/>
        </w:rPr>
        <w:t xml:space="preserve">Kaidah pertama, </w:t>
      </w:r>
      <w:r>
        <w:rPr>
          <w:rFonts w:hint="default" w:ascii="Garamond" w:hAnsi="Garamond" w:cs="Garamond"/>
          <w:i/>
          <w:sz w:val="24"/>
          <w:szCs w:val="24"/>
        </w:rPr>
        <w:t>al-umuuru bi maqasidiha</w:t>
      </w:r>
      <w:r>
        <w:rPr>
          <w:rFonts w:hint="default" w:ascii="Garamond" w:hAnsi="Garamond" w:cs="Garamond"/>
          <w:sz w:val="24"/>
          <w:szCs w:val="24"/>
        </w:rPr>
        <w:t xml:space="preserve"> yang artinya semua perkara bergantung pada tujuannya atau niatnya). Fungsi niat dapat menjadi penentuan spesifikasi atau kekhususan suatu perbuatan.</w:t>
      </w:r>
      <w:r>
        <w:rPr>
          <w:rFonts w:hint="default" w:ascii="Garamond" w:hAnsi="Garamond" w:eastAsia="SimSun" w:cs="Garamond"/>
          <w:sz w:val="24"/>
          <w:szCs w:val="24"/>
          <w:vertAlign w:val="superscript"/>
        </w:rPr>
        <w:footnoteReference w:id="12"/>
      </w:r>
      <w:r>
        <w:rPr>
          <w:rFonts w:hint="default" w:ascii="Garamond" w:hAnsi="Garamond" w:cs="Garamond"/>
          <w:sz w:val="24"/>
          <w:szCs w:val="24"/>
        </w:rPr>
        <w:t xml:space="preserve"> Maksudnya yakni hukum yang menjadi konsekuensi dari setiap perbuatan mengacu pada apa yang menjadi niat atau tujuan  pelakunya.</w:t>
      </w:r>
      <w:r>
        <w:rPr>
          <w:rFonts w:hint="default" w:ascii="Garamond" w:hAnsi="Garamond" w:eastAsia="SimSun" w:cs="Garamond"/>
          <w:sz w:val="24"/>
          <w:szCs w:val="24"/>
          <w:vertAlign w:val="superscript"/>
        </w:rPr>
        <w:footnoteReference w:id="13"/>
      </w:r>
      <w:r>
        <w:rPr>
          <w:rFonts w:hint="default" w:ascii="Garamond" w:hAnsi="Garamond" w:cs="Garamond"/>
          <w:sz w:val="24"/>
          <w:szCs w:val="24"/>
        </w:rPr>
        <w:t xml:space="preserve"> Kaidah Kedua, </w:t>
      </w:r>
      <w:r>
        <w:rPr>
          <w:rFonts w:hint="default" w:ascii="Garamond" w:hAnsi="Garamond" w:cs="Garamond"/>
          <w:i/>
          <w:sz w:val="24"/>
          <w:szCs w:val="24"/>
        </w:rPr>
        <w:t>al-yaqinu la yuzalu bisyak</w:t>
      </w:r>
      <w:r>
        <w:rPr>
          <w:rFonts w:hint="default" w:ascii="Garamond" w:hAnsi="Garamond" w:cs="Garamond"/>
          <w:sz w:val="24"/>
          <w:szCs w:val="24"/>
        </w:rPr>
        <w:t xml:space="preserve"> yang artinya</w:t>
      </w:r>
      <w:r>
        <w:rPr>
          <w:rFonts w:hint="default" w:ascii="Garamond" w:hAnsi="Garamond" w:cs="Garamond"/>
          <w:i/>
          <w:sz w:val="24"/>
          <w:szCs w:val="24"/>
        </w:rPr>
        <w:t xml:space="preserve"> </w:t>
      </w:r>
      <w:r>
        <w:rPr>
          <w:rFonts w:hint="default" w:ascii="Garamond" w:hAnsi="Garamond" w:cs="Garamond"/>
          <w:sz w:val="24"/>
          <w:szCs w:val="24"/>
        </w:rPr>
        <w:t>keyakinan tidak dapat digugurkan oleh keraguan. Kaidah ini menunjukan keberadaan ketentuan hukum yang sudah ada tidak dapat dihilangkan dengan sebuah keraguan.</w:t>
      </w:r>
      <w:r>
        <w:rPr>
          <w:rFonts w:hint="default" w:ascii="Garamond" w:hAnsi="Garamond" w:eastAsia="SimSun" w:cs="Garamond"/>
          <w:sz w:val="24"/>
          <w:szCs w:val="24"/>
          <w:vertAlign w:val="superscript"/>
        </w:rPr>
        <w:footnoteReference w:id="14"/>
      </w:r>
      <w:r>
        <w:rPr>
          <w:rFonts w:hint="default" w:ascii="Garamond" w:hAnsi="Garamond" w:cs="Garamond"/>
          <w:sz w:val="24"/>
          <w:szCs w:val="24"/>
        </w:rPr>
        <w:t xml:space="preserve"> Maksud term </w:t>
      </w:r>
      <w:r>
        <w:rPr>
          <w:rFonts w:hint="default" w:ascii="Garamond" w:hAnsi="Garamond" w:cs="Garamond"/>
          <w:i/>
          <w:sz w:val="24"/>
          <w:szCs w:val="24"/>
        </w:rPr>
        <w:t xml:space="preserve">al-yaqin </w:t>
      </w:r>
      <w:r>
        <w:rPr>
          <w:rFonts w:hint="default" w:ascii="Garamond" w:hAnsi="Garamond" w:cs="Garamond"/>
          <w:sz w:val="24"/>
          <w:szCs w:val="24"/>
        </w:rPr>
        <w:t xml:space="preserve">(yakin) dalam kaidah kedua ini, yakni sesuatu yang pasti berdasarkan atas pemikiran mendalam atau dalil. Sedangkan yang dimaksud </w:t>
      </w:r>
      <w:r>
        <w:rPr>
          <w:rFonts w:hint="default" w:ascii="Garamond" w:hAnsi="Garamond" w:cs="Garamond"/>
          <w:i/>
          <w:sz w:val="24"/>
          <w:szCs w:val="24"/>
        </w:rPr>
        <w:t xml:space="preserve">asy-syakk </w:t>
      </w:r>
      <w:r>
        <w:rPr>
          <w:rFonts w:hint="default" w:ascii="Garamond" w:hAnsi="Garamond" w:cs="Garamond"/>
          <w:sz w:val="24"/>
          <w:szCs w:val="24"/>
        </w:rPr>
        <w:t>(ragu), yakni sesuatu yangbelum pasti. Kaidah ketiga</w:t>
      </w:r>
      <w:r>
        <w:rPr>
          <w:rFonts w:hint="default" w:ascii="Garamond" w:hAnsi="Garamond" w:cs="Garamond"/>
          <w:b/>
          <w:sz w:val="24"/>
          <w:szCs w:val="24"/>
        </w:rPr>
        <w:t xml:space="preserve">, </w:t>
      </w:r>
      <w:r>
        <w:rPr>
          <w:rFonts w:hint="default" w:ascii="Garamond" w:hAnsi="Garamond" w:cs="Garamond"/>
          <w:i/>
          <w:sz w:val="24"/>
          <w:szCs w:val="24"/>
        </w:rPr>
        <w:t xml:space="preserve">al-taisir tajlibul masyaqqoh </w:t>
      </w:r>
      <w:r>
        <w:rPr>
          <w:rFonts w:hint="default" w:ascii="Garamond" w:hAnsi="Garamond" w:cs="Garamond"/>
          <w:sz w:val="24"/>
          <w:szCs w:val="24"/>
        </w:rPr>
        <w:t>yang artinya kesukaran dapat menimbulkan kemudahan. Maksudnya, yakni kondisi kesukaran (</w:t>
      </w:r>
      <w:r>
        <w:rPr>
          <w:rFonts w:hint="default" w:ascii="Garamond" w:hAnsi="Garamond" w:cs="Garamond"/>
          <w:i/>
          <w:sz w:val="24"/>
          <w:szCs w:val="24"/>
        </w:rPr>
        <w:t>masaqqoh</w:t>
      </w:r>
      <w:r>
        <w:rPr>
          <w:rFonts w:hint="default" w:ascii="Garamond" w:hAnsi="Garamond" w:cs="Garamond"/>
          <w:sz w:val="24"/>
          <w:szCs w:val="24"/>
        </w:rPr>
        <w:t>) oleh mukallaf dalam menjalankan  ibadah, maka dapat menerima keringanan berupa ketentuan hukum lain. Kesulitan atau kesukaran yang dimaksud, yakni jika suatu ketentuan hukum yang dalam pelaksanaannya berpotensi menimbulkan dampak negatif (bahaya), baik kepada badan, jiwa, maupun harta mukallaf.</w:t>
      </w:r>
      <w:r>
        <w:rPr>
          <w:rFonts w:hint="default" w:ascii="Garamond" w:hAnsi="Garamond" w:eastAsia="SimSun" w:cs="Garamond"/>
          <w:sz w:val="24"/>
          <w:szCs w:val="24"/>
          <w:vertAlign w:val="superscript"/>
        </w:rPr>
        <w:footnoteReference w:id="15"/>
      </w:r>
      <w:r>
        <w:rPr>
          <w:rFonts w:hint="default" w:ascii="Garamond" w:hAnsi="Garamond" w:cs="Garamond"/>
          <w:sz w:val="24"/>
          <w:szCs w:val="24"/>
        </w:rPr>
        <w:t xml:space="preserve"> Kaidah keempat, </w:t>
      </w:r>
      <w:r>
        <w:rPr>
          <w:rFonts w:hint="default" w:ascii="Garamond" w:hAnsi="Garamond" w:cs="Garamond"/>
          <w:i/>
          <w:sz w:val="24"/>
          <w:szCs w:val="24"/>
        </w:rPr>
        <w:t xml:space="preserve">al-dhororu yuzaalu </w:t>
      </w:r>
      <w:r>
        <w:rPr>
          <w:rFonts w:hint="default" w:ascii="Garamond" w:hAnsi="Garamond" w:cs="Garamond"/>
          <w:sz w:val="24"/>
          <w:szCs w:val="24"/>
        </w:rPr>
        <w:t>yang artinya</w:t>
      </w:r>
      <w:r>
        <w:rPr>
          <w:rFonts w:hint="default" w:ascii="Garamond" w:hAnsi="Garamond" w:cs="Garamond"/>
          <w:i/>
          <w:sz w:val="24"/>
          <w:szCs w:val="24"/>
        </w:rPr>
        <w:t xml:space="preserve"> </w:t>
      </w:r>
      <w:r>
        <w:rPr>
          <w:rFonts w:hint="default" w:ascii="Garamond" w:hAnsi="Garamond" w:cs="Garamond"/>
          <w:sz w:val="24"/>
          <w:szCs w:val="24"/>
        </w:rPr>
        <w:t>kemudaratan harus dihilangkan.</w:t>
      </w:r>
      <w:r>
        <w:rPr>
          <w:rFonts w:hint="default" w:ascii="Garamond" w:hAnsi="Garamond" w:eastAsia="SimSun" w:cs="Garamond"/>
          <w:sz w:val="24"/>
          <w:szCs w:val="24"/>
          <w:vertAlign w:val="superscript"/>
        </w:rPr>
        <w:footnoteReference w:id="16"/>
      </w:r>
      <w:r>
        <w:rPr>
          <w:rFonts w:hint="default" w:ascii="Garamond" w:hAnsi="Garamond" w:cs="Garamond"/>
          <w:sz w:val="24"/>
          <w:szCs w:val="24"/>
        </w:rPr>
        <w:t xml:space="preserve"> Maksud </w:t>
      </w:r>
      <w:r>
        <w:rPr>
          <w:rFonts w:hint="default" w:ascii="Garamond" w:hAnsi="Garamond" w:cs="Garamond"/>
          <w:i/>
          <w:sz w:val="24"/>
          <w:szCs w:val="24"/>
        </w:rPr>
        <w:t>dharar</w:t>
      </w:r>
      <w:r>
        <w:rPr>
          <w:rFonts w:hint="default" w:ascii="Garamond" w:hAnsi="Garamond" w:cs="Garamond"/>
          <w:sz w:val="24"/>
          <w:szCs w:val="24"/>
        </w:rPr>
        <w:t xml:space="preserve"> dalam kaidah ini, yakni kondisi darurat yang dapat menimbulkan bahaya bagi keselamatan jiwa manusia.</w:t>
      </w:r>
      <w:r>
        <w:rPr>
          <w:rFonts w:hint="default" w:ascii="Garamond" w:hAnsi="Garamond" w:eastAsia="SimSun" w:cs="Garamond"/>
          <w:sz w:val="24"/>
          <w:szCs w:val="24"/>
          <w:vertAlign w:val="superscript"/>
        </w:rPr>
        <w:footnoteReference w:id="17"/>
      </w:r>
      <w:r>
        <w:rPr>
          <w:rFonts w:hint="default" w:ascii="Garamond" w:hAnsi="Garamond" w:cs="Garamond"/>
          <w:sz w:val="24"/>
          <w:szCs w:val="24"/>
        </w:rPr>
        <w:t xml:space="preserve"> Kaidah kelima</w:t>
      </w:r>
      <w:r>
        <w:rPr>
          <w:rFonts w:hint="default" w:ascii="Garamond" w:hAnsi="Garamond" w:cs="Garamond"/>
          <w:b/>
          <w:sz w:val="24"/>
          <w:szCs w:val="24"/>
        </w:rPr>
        <w:t xml:space="preserve">, </w:t>
      </w:r>
      <w:r>
        <w:rPr>
          <w:rFonts w:hint="default" w:ascii="Garamond" w:hAnsi="Garamond" w:cs="Garamond"/>
          <w:i/>
          <w:sz w:val="24"/>
          <w:szCs w:val="24"/>
        </w:rPr>
        <w:t xml:space="preserve">al-adat muhakkamah </w:t>
      </w:r>
      <w:r>
        <w:rPr>
          <w:rFonts w:hint="default" w:ascii="Garamond" w:hAnsi="Garamond" w:cs="Garamond"/>
          <w:sz w:val="24"/>
          <w:szCs w:val="24"/>
        </w:rPr>
        <w:t>yang artinya</w:t>
      </w:r>
      <w:r>
        <w:rPr>
          <w:rFonts w:hint="default" w:ascii="Garamond" w:hAnsi="Garamond" w:cs="Garamond"/>
          <w:i/>
          <w:sz w:val="24"/>
          <w:szCs w:val="24"/>
        </w:rPr>
        <w:t xml:space="preserve"> </w:t>
      </w:r>
      <w:r>
        <w:rPr>
          <w:rFonts w:hint="default" w:ascii="Garamond" w:hAnsi="Garamond" w:cs="Garamond"/>
          <w:sz w:val="24"/>
          <w:szCs w:val="24"/>
        </w:rPr>
        <w:t xml:space="preserve">keberadaan adat dapat menjadi pijakan hukum. Maksudnya, suatu kebiasaan baik yang berlaku secara umum </w:t>
      </w:r>
      <w:r>
        <w:rPr>
          <w:rFonts w:hint="default" w:ascii="Garamond" w:hAnsi="Garamond" w:cs="Garamond"/>
          <w:i/>
          <w:sz w:val="24"/>
          <w:szCs w:val="24"/>
        </w:rPr>
        <w:t>(`adat al-`am</w:t>
      </w:r>
      <w:r>
        <w:rPr>
          <w:rFonts w:hint="default" w:ascii="Garamond" w:hAnsi="Garamond" w:cs="Garamond"/>
          <w:sz w:val="24"/>
          <w:szCs w:val="24"/>
        </w:rPr>
        <w:t>) atau yang secara khusus (`</w:t>
      </w:r>
      <w:r>
        <w:rPr>
          <w:rFonts w:hint="default" w:ascii="Garamond" w:hAnsi="Garamond" w:cs="Garamond"/>
          <w:i/>
          <w:sz w:val="24"/>
          <w:szCs w:val="24"/>
        </w:rPr>
        <w:t>adat al-khash</w:t>
      </w:r>
      <w:r>
        <w:rPr>
          <w:rFonts w:hint="default" w:ascii="Garamond" w:hAnsi="Garamond" w:cs="Garamond"/>
          <w:sz w:val="24"/>
          <w:szCs w:val="24"/>
        </w:rPr>
        <w:t>) dapat menjadi pijakan dalam penetapan hukum syar`I selama tidak bertentangan dengan ketentuan hukum dalam nash</w:t>
      </w:r>
      <w:r>
        <w:rPr>
          <w:rFonts w:hint="default" w:ascii="Garamond" w:hAnsi="Garamond" w:eastAsia="SimSun" w:cs="Garamond"/>
          <w:sz w:val="24"/>
          <w:szCs w:val="24"/>
          <w:vertAlign w:val="superscript"/>
        </w:rPr>
        <w:footnoteReference w:id="18"/>
      </w:r>
    </w:p>
    <w:p>
      <w:pPr>
        <w:autoSpaceDE w:val="0"/>
        <w:autoSpaceDN w:val="0"/>
        <w:adjustRightInd w:val="0"/>
        <w:spacing w:beforeLines="0" w:afterLines="0" w:line="360" w:lineRule="auto"/>
        <w:ind w:firstLine="720"/>
        <w:jc w:val="both"/>
        <w:rPr>
          <w:rFonts w:hint="default" w:ascii="Garamond" w:hAnsi="Garamond" w:cs="Garamond"/>
          <w:sz w:val="24"/>
          <w:szCs w:val="24"/>
        </w:rPr>
      </w:pPr>
      <w:r>
        <w:rPr>
          <w:rFonts w:hint="default" w:ascii="Garamond" w:hAnsi="Garamond" w:cs="Garamond"/>
          <w:color w:val="000000"/>
          <w:sz w:val="24"/>
          <w:szCs w:val="24"/>
        </w:rPr>
        <w:t>Berdasarkan urain atas lima kaidah fikih di atas menunjukan bahwa hukum Islam memiliki daya elastisitas hukum yang dapat menjangkau kompleksitas dan perkembangan persoalan hukum yang ada di tengah masyarakat, kapanpun dan dimanapun. Daya elastisitas hukumm tersebut paralel misi universalisme ajaran Islam.</w:t>
      </w:r>
      <w:r>
        <w:rPr>
          <w:rStyle w:val="11"/>
          <w:rFonts w:hint="default" w:ascii="Garamond" w:hAnsi="Garamond" w:eastAsia="SimSun" w:cs="Garamond"/>
          <w:color w:val="000000"/>
          <w:sz w:val="24"/>
          <w:szCs w:val="24"/>
        </w:rPr>
        <w:footnoteReference w:id="19"/>
      </w:r>
      <w:r>
        <w:rPr>
          <w:rFonts w:hint="default" w:ascii="Garamond" w:hAnsi="Garamond" w:cs="Garamond"/>
          <w:color w:val="000000"/>
          <w:sz w:val="24"/>
          <w:szCs w:val="24"/>
        </w:rPr>
        <w:t xml:space="preserve"> Sebagaiman telah kita ketahui bahwa universalisme  Islam terletak   prinsip   ajaran   yang   menekankan   nilai   keadilan, kemashlahatan,  dan  keluwesannya  dalam menjawab problematika hukum seiring dengan perkembangan zaman yang ada.</w:t>
      </w:r>
      <w:r>
        <w:rPr>
          <w:rStyle w:val="11"/>
          <w:rFonts w:hint="default" w:ascii="Garamond" w:hAnsi="Garamond" w:eastAsia="SimSun" w:cs="Garamond"/>
          <w:color w:val="000000"/>
          <w:sz w:val="24"/>
          <w:szCs w:val="24"/>
        </w:rPr>
        <w:footnoteReference w:id="20"/>
      </w:r>
      <w:r>
        <w:rPr>
          <w:rFonts w:hint="default" w:ascii="Garamond" w:hAnsi="Garamond" w:cs="Garamond"/>
          <w:color w:val="000000"/>
          <w:sz w:val="24"/>
          <w:szCs w:val="24"/>
        </w:rPr>
        <w:t xml:space="preserve">  </w:t>
      </w:r>
    </w:p>
    <w:p>
      <w:pPr>
        <w:autoSpaceDE w:val="0"/>
        <w:autoSpaceDN w:val="0"/>
        <w:adjustRightInd w:val="0"/>
        <w:spacing w:beforeLines="0" w:afterLines="0" w:line="360" w:lineRule="auto"/>
        <w:ind w:firstLine="720"/>
        <w:jc w:val="both"/>
        <w:rPr>
          <w:rFonts w:hint="default" w:ascii="Garamond" w:hAnsi="Garamond" w:cs="Garamond"/>
          <w:sz w:val="24"/>
          <w:szCs w:val="24"/>
        </w:rPr>
      </w:pPr>
      <w:r>
        <w:rPr>
          <w:rFonts w:hint="default" w:ascii="Garamond" w:hAnsi="Garamond" w:cs="Garamond"/>
          <w:sz w:val="24"/>
          <w:szCs w:val="24"/>
        </w:rPr>
        <w:t>Keberadaan kaidah fikih induk di atas akan digunakan sebagai teori analisis dalam analisis komparatif terhadap landasan paradigmatik hukum Islam dari Musah Mulia dan Huza</w:t>
      </w:r>
      <w:r>
        <w:rPr>
          <w:rFonts w:hint="default" w:ascii="Garamond" w:hAnsi="Garamond" w:cs="Garamond"/>
          <w:sz w:val="24"/>
          <w:szCs w:val="24"/>
          <w:lang w:val="en-US"/>
        </w:rPr>
        <w:t>em</w:t>
      </w:r>
      <w:r>
        <w:rPr>
          <w:rFonts w:hint="default" w:ascii="Garamond" w:hAnsi="Garamond" w:cs="Garamond"/>
          <w:sz w:val="24"/>
          <w:szCs w:val="24"/>
        </w:rPr>
        <w:t>ah Tahido Yanggo terkait homoseksual sebagaimana yang menjadi pembahasan inti dalam penelitian ini.</w:t>
      </w:r>
    </w:p>
    <w:p>
      <w:pPr>
        <w:spacing w:beforeLines="0" w:afterLines="0" w:line="360" w:lineRule="auto"/>
        <w:jc w:val="both"/>
        <w:rPr>
          <w:rFonts w:hint="default" w:ascii="Garamond" w:hAnsi="Garamond" w:cs="Garamond"/>
          <w:b/>
          <w:sz w:val="24"/>
          <w:szCs w:val="24"/>
        </w:rPr>
      </w:pPr>
      <w:r>
        <w:rPr>
          <w:rFonts w:hint="default" w:ascii="Garamond" w:hAnsi="Garamond" w:cs="Garamond"/>
          <w:b/>
          <w:sz w:val="24"/>
          <w:szCs w:val="24"/>
        </w:rPr>
        <w:t xml:space="preserve">Diaspora </w:t>
      </w:r>
      <w:r>
        <w:rPr>
          <w:rFonts w:hint="default" w:ascii="Garamond" w:hAnsi="Garamond" w:cs="Garamond"/>
          <w:b/>
          <w:sz w:val="24"/>
          <w:szCs w:val="24"/>
          <w:lang w:val="en-US"/>
        </w:rPr>
        <w:t xml:space="preserve">Kehidupan </w:t>
      </w:r>
      <w:r>
        <w:rPr>
          <w:rFonts w:hint="default" w:ascii="Garamond" w:hAnsi="Garamond" w:cs="Garamond"/>
          <w:b/>
          <w:sz w:val="24"/>
          <w:szCs w:val="24"/>
        </w:rPr>
        <w:t>Sosial-Intelektual Musdah Mulia dan Huzaima Tahido Yanggo</w:t>
      </w:r>
    </w:p>
    <w:p>
      <w:pPr>
        <w:autoSpaceDE w:val="0"/>
        <w:autoSpaceDN w:val="0"/>
        <w:adjustRightInd w:val="0"/>
        <w:spacing w:beforeLines="0" w:afterLines="0" w:line="360" w:lineRule="auto"/>
        <w:ind w:firstLine="720"/>
        <w:jc w:val="both"/>
        <w:rPr>
          <w:rFonts w:hint="default" w:ascii="Garamond" w:hAnsi="Garamond" w:cs="Garamond"/>
          <w:sz w:val="24"/>
          <w:szCs w:val="24"/>
          <w:lang w:val="en"/>
        </w:rPr>
      </w:pPr>
      <w:r>
        <w:rPr>
          <w:rFonts w:hint="default" w:ascii="Garamond" w:hAnsi="Garamond" w:cs="Garamond"/>
          <w:sz w:val="24"/>
          <w:szCs w:val="24"/>
          <w:lang w:val="en"/>
        </w:rPr>
        <w:t>Prof. Dr. Siti Musdah Mulia, MA, APU lahir pada 3 Maret 1958 di Bone_Sulawesi</w:t>
      </w:r>
      <w:r>
        <w:rPr>
          <w:rFonts w:hint="default" w:ascii="Garamond" w:hAnsi="Garamond" w:cs="Garamond"/>
          <w:sz w:val="24"/>
          <w:szCs w:val="24"/>
        </w:rPr>
        <w:t xml:space="preserve"> </w:t>
      </w:r>
      <w:r>
        <w:rPr>
          <w:rFonts w:hint="default" w:ascii="Garamond" w:hAnsi="Garamond" w:cs="Garamond"/>
          <w:sz w:val="24"/>
          <w:szCs w:val="24"/>
          <w:lang w:val="en"/>
        </w:rPr>
        <w:t>Selatan.</w:t>
      </w:r>
      <w:r>
        <w:rPr>
          <w:rFonts w:hint="default" w:ascii="Garamond" w:hAnsi="Garamond" w:cs="Garamond"/>
          <w:sz w:val="24"/>
          <w:szCs w:val="24"/>
        </w:rPr>
        <w:t xml:space="preserve"> Musdah merupakan</w:t>
      </w:r>
      <w:r>
        <w:rPr>
          <w:rFonts w:hint="default" w:ascii="Garamond" w:hAnsi="Garamond" w:cs="Garamond"/>
          <w:sz w:val="24"/>
          <w:szCs w:val="24"/>
          <w:lang w:val="en"/>
        </w:rPr>
        <w:t xml:space="preserve"> </w:t>
      </w:r>
      <w:r>
        <w:rPr>
          <w:rFonts w:hint="default" w:ascii="Garamond" w:hAnsi="Garamond" w:cs="Garamond"/>
          <w:sz w:val="24"/>
          <w:szCs w:val="24"/>
        </w:rPr>
        <w:t>p</w:t>
      </w:r>
      <w:r>
        <w:rPr>
          <w:rFonts w:hint="default" w:ascii="Garamond" w:hAnsi="Garamond" w:cs="Garamond"/>
          <w:sz w:val="24"/>
          <w:szCs w:val="24"/>
          <w:lang w:val="en"/>
        </w:rPr>
        <w:t xml:space="preserve">utri </w:t>
      </w:r>
      <w:r>
        <w:rPr>
          <w:rFonts w:hint="default" w:ascii="Garamond" w:hAnsi="Garamond" w:cs="Garamond"/>
          <w:sz w:val="24"/>
          <w:szCs w:val="24"/>
        </w:rPr>
        <w:t>p</w:t>
      </w:r>
      <w:r>
        <w:rPr>
          <w:rFonts w:hint="default" w:ascii="Garamond" w:hAnsi="Garamond" w:cs="Garamond"/>
          <w:sz w:val="24"/>
          <w:szCs w:val="24"/>
          <w:lang w:val="en"/>
        </w:rPr>
        <w:t>ertama dari pasangan H. Mustamin Abd. Fatah dan Hj. Buaidah</w:t>
      </w:r>
      <w:r>
        <w:rPr>
          <w:rFonts w:hint="default" w:ascii="Garamond" w:hAnsi="Garamond" w:cs="Garamond"/>
          <w:sz w:val="24"/>
          <w:szCs w:val="24"/>
        </w:rPr>
        <w:t xml:space="preserve"> </w:t>
      </w:r>
      <w:r>
        <w:rPr>
          <w:rFonts w:hint="default" w:ascii="Garamond" w:hAnsi="Garamond" w:cs="Garamond"/>
          <w:sz w:val="24"/>
          <w:szCs w:val="24"/>
          <w:lang w:val="en"/>
        </w:rPr>
        <w:t>Ahmad</w:t>
      </w:r>
      <w:r>
        <w:rPr>
          <w:rFonts w:hint="default" w:ascii="Garamond" w:hAnsi="Garamond" w:cs="Garamond"/>
          <w:sz w:val="24"/>
          <w:szCs w:val="24"/>
        </w:rPr>
        <w:t xml:space="preserve">. Musdah menikah </w:t>
      </w:r>
      <w:r>
        <w:rPr>
          <w:rFonts w:hint="default" w:ascii="Garamond" w:hAnsi="Garamond" w:cs="Garamond"/>
          <w:sz w:val="24"/>
          <w:szCs w:val="24"/>
          <w:lang w:val="en"/>
        </w:rPr>
        <w:t xml:space="preserve">dengan Prof. Dr. Ahmad Thib Raya pada tahun 1984. Perjalanan pendidikan formal Sarjana Mudanya (bidang bahasa dan Sastera Arab) di </w:t>
      </w:r>
      <w:r>
        <w:rPr>
          <w:rFonts w:hint="default" w:ascii="Garamond" w:hAnsi="Garamond" w:cs="Garamond"/>
          <w:sz w:val="24"/>
          <w:szCs w:val="24"/>
        </w:rPr>
        <w:t xml:space="preserve">Instititut Agama Islam Negeri </w:t>
      </w:r>
      <w:r>
        <w:rPr>
          <w:rFonts w:hint="default" w:ascii="Garamond" w:hAnsi="Garamond" w:cs="Garamond"/>
          <w:sz w:val="24"/>
          <w:szCs w:val="24"/>
          <w:lang w:val="en"/>
        </w:rPr>
        <w:t>Alaudin Makassar</w:t>
      </w:r>
      <w:r>
        <w:rPr>
          <w:rFonts w:hint="default" w:ascii="Garamond" w:hAnsi="Garamond" w:cs="Garamond"/>
          <w:sz w:val="24"/>
          <w:szCs w:val="24"/>
        </w:rPr>
        <w:t xml:space="preserve"> selesai pada tahun </w:t>
      </w:r>
      <w:r>
        <w:rPr>
          <w:rFonts w:hint="default" w:ascii="Garamond" w:hAnsi="Garamond" w:cs="Garamond"/>
          <w:sz w:val="24"/>
          <w:szCs w:val="24"/>
          <w:lang w:val="en"/>
        </w:rPr>
        <w:t>198</w:t>
      </w:r>
      <w:r>
        <w:rPr>
          <w:rFonts w:hint="default" w:ascii="Garamond" w:hAnsi="Garamond" w:cs="Garamond"/>
          <w:sz w:val="24"/>
          <w:szCs w:val="24"/>
        </w:rPr>
        <w:t>2.</w:t>
      </w:r>
      <w:r>
        <w:rPr>
          <w:rFonts w:hint="default" w:ascii="Garamond" w:hAnsi="Garamond" w:cs="Garamond"/>
          <w:sz w:val="24"/>
          <w:szCs w:val="24"/>
          <w:lang w:val="en"/>
        </w:rPr>
        <w:t xml:space="preserve"> </w:t>
      </w:r>
      <w:r>
        <w:rPr>
          <w:rFonts w:hint="default" w:ascii="Garamond" w:hAnsi="Garamond" w:cs="Garamond"/>
          <w:sz w:val="24"/>
          <w:szCs w:val="24"/>
        </w:rPr>
        <w:t>Kemudian jenjang</w:t>
      </w:r>
      <w:r>
        <w:rPr>
          <w:rFonts w:hint="default" w:ascii="Garamond" w:hAnsi="Garamond" w:cs="Garamond"/>
          <w:sz w:val="24"/>
          <w:szCs w:val="24"/>
          <w:lang w:val="en"/>
        </w:rPr>
        <w:t xml:space="preserve"> Master </w:t>
      </w:r>
      <w:r>
        <w:rPr>
          <w:rFonts w:hint="default" w:ascii="Garamond" w:hAnsi="Garamond" w:cs="Garamond"/>
          <w:sz w:val="24"/>
          <w:szCs w:val="24"/>
        </w:rPr>
        <w:t xml:space="preserve">di </w:t>
      </w:r>
      <w:r>
        <w:rPr>
          <w:rFonts w:hint="default" w:ascii="Garamond" w:hAnsi="Garamond" w:cs="Garamond"/>
          <w:sz w:val="24"/>
          <w:szCs w:val="24"/>
          <w:lang w:val="en"/>
        </w:rPr>
        <w:t xml:space="preserve">bidang Sejarah Pemikiran Islam </w:t>
      </w:r>
      <w:r>
        <w:rPr>
          <w:rFonts w:hint="default" w:ascii="Garamond" w:hAnsi="Garamond" w:cs="Garamond"/>
          <w:sz w:val="24"/>
          <w:szCs w:val="24"/>
        </w:rPr>
        <w:t xml:space="preserve">selesai pada tahun </w:t>
      </w:r>
      <w:r>
        <w:rPr>
          <w:rFonts w:hint="default" w:ascii="Garamond" w:hAnsi="Garamond" w:cs="Garamond"/>
          <w:sz w:val="24"/>
          <w:szCs w:val="24"/>
          <w:lang w:val="en"/>
        </w:rPr>
        <w:t xml:space="preserve">1992, </w:t>
      </w:r>
      <w:r>
        <w:rPr>
          <w:rFonts w:hint="default" w:ascii="Garamond" w:hAnsi="Garamond" w:cs="Garamond"/>
          <w:sz w:val="24"/>
          <w:szCs w:val="24"/>
        </w:rPr>
        <w:t>dan jenjang</w:t>
      </w:r>
      <w:r>
        <w:rPr>
          <w:rFonts w:hint="default" w:ascii="Garamond" w:hAnsi="Garamond" w:cs="Garamond"/>
          <w:sz w:val="24"/>
          <w:szCs w:val="24"/>
          <w:lang w:val="en"/>
        </w:rPr>
        <w:t xml:space="preserve"> Doktornya </w:t>
      </w:r>
      <w:r>
        <w:rPr>
          <w:rFonts w:hint="default" w:ascii="Garamond" w:hAnsi="Garamond" w:cs="Garamond"/>
          <w:sz w:val="24"/>
          <w:szCs w:val="24"/>
        </w:rPr>
        <w:t xml:space="preserve">di </w:t>
      </w:r>
      <w:r>
        <w:rPr>
          <w:rFonts w:hint="default" w:ascii="Garamond" w:hAnsi="Garamond" w:cs="Garamond"/>
          <w:sz w:val="24"/>
          <w:szCs w:val="24"/>
          <w:lang w:val="en"/>
        </w:rPr>
        <w:t>bidang Pemikiran Politik Islam</w:t>
      </w:r>
      <w:r>
        <w:rPr>
          <w:rFonts w:hint="default" w:ascii="Garamond" w:hAnsi="Garamond" w:cs="Garamond"/>
          <w:sz w:val="24"/>
          <w:szCs w:val="24"/>
        </w:rPr>
        <w:t xml:space="preserve"> selesai pada tahun 1997 </w:t>
      </w:r>
      <w:r>
        <w:rPr>
          <w:rFonts w:hint="default" w:ascii="Garamond" w:hAnsi="Garamond" w:cs="Garamond"/>
          <w:sz w:val="24"/>
          <w:szCs w:val="24"/>
          <w:lang w:val="en"/>
        </w:rPr>
        <w:t xml:space="preserve"> di </w:t>
      </w:r>
      <w:r>
        <w:rPr>
          <w:rFonts w:hint="default" w:ascii="Garamond" w:hAnsi="Garamond" w:cs="Garamond"/>
          <w:sz w:val="24"/>
          <w:szCs w:val="24"/>
        </w:rPr>
        <w:t xml:space="preserve">kampus yang sama, yakni </w:t>
      </w:r>
      <w:r>
        <w:rPr>
          <w:rFonts w:hint="default" w:ascii="Garamond" w:hAnsi="Garamond" w:cs="Garamond"/>
          <w:sz w:val="24"/>
          <w:szCs w:val="24"/>
          <w:lang w:val="en"/>
        </w:rPr>
        <w:t>U</w:t>
      </w:r>
      <w:r>
        <w:rPr>
          <w:rFonts w:hint="default" w:ascii="Garamond" w:hAnsi="Garamond" w:cs="Garamond"/>
          <w:sz w:val="24"/>
          <w:szCs w:val="24"/>
        </w:rPr>
        <w:t xml:space="preserve">niversitas Islam </w:t>
      </w:r>
      <w:r>
        <w:rPr>
          <w:rFonts w:hint="default" w:ascii="Garamond" w:hAnsi="Garamond" w:cs="Garamond"/>
          <w:sz w:val="24"/>
          <w:szCs w:val="24"/>
          <w:lang w:val="en"/>
        </w:rPr>
        <w:t>N</w:t>
      </w:r>
      <w:r>
        <w:rPr>
          <w:rFonts w:hint="default" w:ascii="Garamond" w:hAnsi="Garamond" w:cs="Garamond"/>
          <w:sz w:val="24"/>
          <w:szCs w:val="24"/>
        </w:rPr>
        <w:t>egeri</w:t>
      </w:r>
      <w:r>
        <w:rPr>
          <w:rFonts w:hint="default" w:ascii="Garamond" w:hAnsi="Garamond" w:cs="Garamond"/>
          <w:sz w:val="24"/>
          <w:szCs w:val="24"/>
          <w:lang w:val="en"/>
        </w:rPr>
        <w:t xml:space="preserve"> </w:t>
      </w:r>
      <w:r>
        <w:rPr>
          <w:rFonts w:hint="default" w:ascii="Garamond" w:hAnsi="Garamond" w:cs="Garamond"/>
          <w:sz w:val="24"/>
          <w:szCs w:val="24"/>
        </w:rPr>
        <w:t xml:space="preserve">Syarif Hidayatullah </w:t>
      </w:r>
      <w:r>
        <w:rPr>
          <w:rFonts w:hint="default" w:ascii="Garamond" w:hAnsi="Garamond" w:cs="Garamond"/>
          <w:sz w:val="24"/>
          <w:szCs w:val="24"/>
          <w:lang w:val="en"/>
        </w:rPr>
        <w:t>Jakarta</w:t>
      </w:r>
      <w:r>
        <w:rPr>
          <w:rFonts w:hint="default" w:ascii="Garamond" w:hAnsi="Garamond" w:cs="Garamond"/>
          <w:sz w:val="24"/>
          <w:szCs w:val="24"/>
        </w:rPr>
        <w:t>.</w:t>
      </w:r>
      <w:r>
        <w:rPr>
          <w:rFonts w:hint="default" w:ascii="Garamond" w:hAnsi="Garamond" w:cs="Garamond"/>
          <w:sz w:val="24"/>
          <w:szCs w:val="24"/>
          <w:lang w:val="en"/>
        </w:rPr>
        <w:t xml:space="preserve"> </w:t>
      </w:r>
    </w:p>
    <w:p>
      <w:pPr>
        <w:autoSpaceDE w:val="0"/>
        <w:autoSpaceDN w:val="0"/>
        <w:adjustRightInd w:val="0"/>
        <w:spacing w:beforeLines="0" w:afterLines="0" w:line="360" w:lineRule="auto"/>
        <w:ind w:firstLine="720"/>
        <w:jc w:val="both"/>
        <w:rPr>
          <w:rFonts w:hint="default" w:ascii="Garamond" w:hAnsi="Garamond" w:cs="Garamond"/>
          <w:sz w:val="24"/>
          <w:szCs w:val="24"/>
        </w:rPr>
      </w:pPr>
      <w:r>
        <w:rPr>
          <w:rFonts w:hint="default" w:ascii="Garamond" w:hAnsi="Garamond" w:cs="Garamond"/>
          <w:sz w:val="24"/>
          <w:szCs w:val="24"/>
        </w:rPr>
        <w:t xml:space="preserve">Semasa hidupnya, Musdah </w:t>
      </w:r>
      <w:r>
        <w:rPr>
          <w:rFonts w:hint="default" w:ascii="Garamond" w:hAnsi="Garamond" w:cs="Garamond"/>
          <w:sz w:val="24"/>
          <w:szCs w:val="24"/>
          <w:lang w:val="en"/>
        </w:rPr>
        <w:t>pernah menduduki berbagai posisi di beberapa departemen pemerintahan</w:t>
      </w:r>
      <w:r>
        <w:rPr>
          <w:rFonts w:hint="default" w:ascii="Garamond" w:hAnsi="Garamond" w:cs="Garamond"/>
          <w:sz w:val="24"/>
          <w:szCs w:val="24"/>
        </w:rPr>
        <w:t>, antara lain</w:t>
      </w:r>
      <w:r>
        <w:rPr>
          <w:rFonts w:hint="default" w:ascii="Garamond" w:hAnsi="Garamond" w:cs="Garamond"/>
          <w:sz w:val="24"/>
          <w:szCs w:val="24"/>
          <w:lang w:val="en"/>
        </w:rPr>
        <w:t xml:space="preserve"> Staff Ahli Menteri Agama Bidang Pembinaan Hubungan Organisasi Keagamaan Internasional (2001-2007). </w:t>
      </w:r>
      <w:r>
        <w:rPr>
          <w:rFonts w:hint="default" w:ascii="Garamond" w:hAnsi="Garamond" w:cs="Garamond"/>
          <w:sz w:val="24"/>
          <w:szCs w:val="24"/>
        </w:rPr>
        <w:t xml:space="preserve">Sementara itu, aktifitas di bidang akademiknya, </w:t>
      </w:r>
      <w:r>
        <w:rPr>
          <w:rFonts w:hint="default" w:ascii="Garamond" w:hAnsi="Garamond" w:cs="Garamond"/>
          <w:sz w:val="24"/>
          <w:szCs w:val="24"/>
          <w:lang w:val="en"/>
        </w:rPr>
        <w:t xml:space="preserve">Musdah </w:t>
      </w:r>
      <w:r>
        <w:rPr>
          <w:rFonts w:hint="default" w:ascii="Garamond" w:hAnsi="Garamond" w:cs="Garamond"/>
          <w:sz w:val="24"/>
          <w:szCs w:val="24"/>
        </w:rPr>
        <w:t>pernah</w:t>
      </w:r>
      <w:r>
        <w:rPr>
          <w:rFonts w:hint="default" w:ascii="Garamond" w:hAnsi="Garamond" w:cs="Garamond"/>
          <w:sz w:val="24"/>
          <w:szCs w:val="24"/>
          <w:lang w:val="en"/>
        </w:rPr>
        <w:t xml:space="preserve"> menjadi staff pengajar di beberapa </w:t>
      </w:r>
      <w:r>
        <w:rPr>
          <w:rFonts w:hint="default" w:ascii="Garamond" w:hAnsi="Garamond" w:cs="Garamond"/>
          <w:sz w:val="24"/>
          <w:szCs w:val="24"/>
        </w:rPr>
        <w:t>kampus, antara lain</w:t>
      </w:r>
      <w:r>
        <w:rPr>
          <w:rFonts w:hint="default" w:ascii="Garamond" w:hAnsi="Garamond" w:cs="Garamond"/>
          <w:sz w:val="24"/>
          <w:szCs w:val="24"/>
          <w:lang w:val="en"/>
        </w:rPr>
        <w:t xml:space="preserve"> Institut Ilmu_ilmu al-Qur</w:t>
      </w:r>
      <w:r>
        <w:rPr>
          <w:rFonts w:hint="default" w:ascii="Garamond" w:hAnsi="Garamond" w:cs="Garamond"/>
          <w:sz w:val="24"/>
          <w:szCs w:val="24"/>
        </w:rPr>
        <w:t>’a</w:t>
      </w:r>
      <w:r>
        <w:rPr>
          <w:rFonts w:hint="default" w:ascii="Garamond" w:hAnsi="Garamond" w:cs="Garamond"/>
          <w:sz w:val="24"/>
          <w:szCs w:val="24"/>
          <w:lang w:val="en"/>
        </w:rPr>
        <w:t xml:space="preserve">n (IIQ) dan di program pasca-sarjana UIN Jakarta. </w:t>
      </w:r>
      <w:r>
        <w:rPr>
          <w:rFonts w:hint="default" w:ascii="Garamond" w:hAnsi="Garamond" w:cs="Garamond"/>
          <w:sz w:val="24"/>
          <w:szCs w:val="24"/>
        </w:rPr>
        <w:t>Ia juga</w:t>
      </w:r>
      <w:r>
        <w:rPr>
          <w:rFonts w:hint="default" w:ascii="Garamond" w:hAnsi="Garamond" w:cs="Garamond"/>
          <w:sz w:val="24"/>
          <w:szCs w:val="24"/>
          <w:lang w:val="en"/>
        </w:rPr>
        <w:t xml:space="preserve"> pernah mendapat penghargaan</w:t>
      </w:r>
      <w:r>
        <w:rPr>
          <w:rFonts w:hint="default" w:ascii="Garamond" w:hAnsi="Garamond" w:cs="Garamond"/>
          <w:sz w:val="24"/>
          <w:szCs w:val="24"/>
        </w:rPr>
        <w:t xml:space="preserve"> internasioanal, antara lain</w:t>
      </w:r>
      <w:r>
        <w:rPr>
          <w:rFonts w:hint="default" w:ascii="Garamond" w:hAnsi="Garamond" w:cs="Garamond"/>
          <w:sz w:val="24"/>
          <w:szCs w:val="24"/>
          <w:lang w:val="en"/>
        </w:rPr>
        <w:t xml:space="preserve"> International Women of Courage Award (2007) di USA, Yap Thiam Hie Award (2008), dan Women of The Year dari Itali (2009).</w:t>
      </w:r>
      <w:r>
        <w:rPr>
          <w:rFonts w:hint="default" w:ascii="Garamond" w:hAnsi="Garamond" w:cs="Garamond"/>
          <w:sz w:val="24"/>
          <w:szCs w:val="24"/>
        </w:rPr>
        <w:t xml:space="preserve"> </w:t>
      </w:r>
    </w:p>
    <w:p>
      <w:pPr>
        <w:autoSpaceDE w:val="0"/>
        <w:autoSpaceDN w:val="0"/>
        <w:adjustRightInd w:val="0"/>
        <w:spacing w:beforeLines="0" w:afterLines="0" w:line="360" w:lineRule="auto"/>
        <w:ind w:firstLine="720"/>
        <w:jc w:val="both"/>
        <w:rPr>
          <w:rFonts w:hint="default" w:ascii="Garamond" w:hAnsi="Garamond" w:cs="Garamond"/>
          <w:sz w:val="24"/>
          <w:szCs w:val="24"/>
        </w:rPr>
      </w:pPr>
      <w:r>
        <w:rPr>
          <w:rFonts w:hint="default" w:ascii="Garamond" w:hAnsi="Garamond" w:cs="Garamond"/>
          <w:sz w:val="24"/>
          <w:szCs w:val="24"/>
        </w:rPr>
        <w:t>Selain sebagai aktifis dan akademisi, Musdah juga aktif menuliskan gagasanya di berbagai karya ilmiah, antara lain berjudul</w:t>
      </w:r>
      <w:r>
        <w:rPr>
          <w:rFonts w:hint="default" w:ascii="Garamond" w:hAnsi="Garamond" w:cs="Garamond"/>
          <w:sz w:val="24"/>
          <w:szCs w:val="24"/>
          <w:lang w:val="en"/>
        </w:rPr>
        <w:t xml:space="preserve"> Pangkal Penguasaan Bahasa Arab (1989); Sejarah dan Pengantar Ilmu Hadith (1995); Sejarah dan Pengatar Ilmu Tafsir (1995); Katalog Naskah Kuno yang bernafaskan Islam diIndonesia (1997); Potret Perempuan dalam Lektur Agama (1999); Anatomi Buku Islam Kontemporer (2000); Islam Menggugat Poligami (2000); Pedoman Dakwah Muballighat (2000); Kesetaraan dan Keadilan Gender dalam Perspektif Islam (2001); Analisis Kebijakan Publik (2002); Meretas Jalan Awal Hidup Manusia: Modul Pelatihan Hak-Hak Reproduksi (2002); Seluk Beluk Ibadah dalam Islam (2002), Muslimah Reformis (2005), Perempuan dan Politik (2005) dan menulis puluhan entri dalam Ensiklopedi Islam (1993), Ensiklopedi Hukum Islam (1997) dan ensiklopedi al-Qur</w:t>
      </w:r>
      <w:r>
        <w:rPr>
          <w:rFonts w:hint="default" w:ascii="Garamond" w:hAnsi="Garamond" w:cs="Garamond"/>
          <w:sz w:val="24"/>
          <w:szCs w:val="24"/>
        </w:rPr>
        <w:t>’a</w:t>
      </w:r>
      <w:r>
        <w:rPr>
          <w:rFonts w:hint="default" w:ascii="Garamond" w:hAnsi="Garamond" w:cs="Garamond"/>
          <w:sz w:val="24"/>
          <w:szCs w:val="24"/>
          <w:lang w:val="en"/>
        </w:rPr>
        <w:t>n (2000)</w:t>
      </w:r>
      <w:r>
        <w:rPr>
          <w:rFonts w:hint="default" w:ascii="Garamond" w:hAnsi="Garamond" w:cs="Garamond"/>
          <w:sz w:val="24"/>
          <w:szCs w:val="24"/>
        </w:rPr>
        <w:t>,</w:t>
      </w:r>
      <w:r>
        <w:rPr>
          <w:rFonts w:hint="default" w:ascii="Garamond" w:hAnsi="Garamond" w:cs="Garamond"/>
          <w:sz w:val="24"/>
          <w:szCs w:val="24"/>
          <w:vertAlign w:val="superscript"/>
          <w:lang w:val="en"/>
        </w:rPr>
        <w:footnoteReference w:id="21"/>
      </w:r>
      <w:r>
        <w:rPr>
          <w:rFonts w:hint="default" w:ascii="Garamond" w:hAnsi="Garamond" w:cs="Garamond"/>
          <w:sz w:val="24"/>
          <w:szCs w:val="24"/>
          <w:lang w:val="id-ID"/>
        </w:rPr>
        <w:t xml:space="preserve">Membangun Surga di Bumi; Kiat-kiat </w:t>
      </w:r>
      <w:r>
        <w:rPr>
          <w:rFonts w:hint="default" w:ascii="Garamond" w:hAnsi="Garamond" w:cs="Garamond"/>
          <w:sz w:val="22"/>
          <w:szCs w:val="22"/>
          <w:lang w:val="id-ID"/>
        </w:rPr>
        <w:t>Membangun keluarga Ideal dalam Islam ( 2011)</w:t>
      </w:r>
      <w:r>
        <w:rPr>
          <w:rFonts w:hint="default" w:ascii="Garamond" w:hAnsi="Garamond" w:cs="Garamond"/>
          <w:sz w:val="22"/>
          <w:szCs w:val="22"/>
        </w:rPr>
        <w:t>.</w:t>
      </w:r>
      <w:r>
        <w:rPr>
          <w:rFonts w:hint="default" w:ascii="Garamond" w:hAnsi="Garamond" w:eastAsia="SimSun" w:cs="Garamond"/>
          <w:sz w:val="22"/>
          <w:szCs w:val="22"/>
          <w:vertAlign w:val="superscript"/>
        </w:rPr>
        <w:footnoteReference w:id="22"/>
      </w:r>
    </w:p>
    <w:p>
      <w:pPr>
        <w:spacing w:beforeLines="0" w:after="200" w:afterLines="0" w:line="360" w:lineRule="auto"/>
        <w:ind w:firstLine="720"/>
        <w:jc w:val="both"/>
        <w:rPr>
          <w:rFonts w:hint="default" w:ascii="Garamond" w:hAnsi="Garamond" w:cs="Garamond"/>
          <w:sz w:val="24"/>
          <w:szCs w:val="24"/>
        </w:rPr>
      </w:pPr>
      <w:r>
        <w:rPr>
          <w:rFonts w:hint="default" w:ascii="Garamond" w:hAnsi="Garamond" w:cs="Garamond"/>
          <w:sz w:val="24"/>
          <w:szCs w:val="24"/>
        </w:rPr>
        <w:t xml:space="preserve">Selanjutnya,  </w:t>
      </w:r>
      <w:r>
        <w:rPr>
          <w:rFonts w:hint="default" w:ascii="Garamond" w:hAnsi="Garamond" w:cs="Garamond"/>
          <w:sz w:val="24"/>
          <w:szCs w:val="24"/>
          <w:lang w:val="en"/>
        </w:rPr>
        <w:t xml:space="preserve">Prof. Dr. Hj. Huzaemah Tahido Yanggo, M.A. </w:t>
      </w:r>
      <w:r>
        <w:rPr>
          <w:rFonts w:hint="default" w:ascii="Garamond" w:hAnsi="Garamond" w:cs="Garamond"/>
          <w:sz w:val="24"/>
          <w:szCs w:val="24"/>
        </w:rPr>
        <w:t xml:space="preserve">lahir </w:t>
      </w:r>
      <w:r>
        <w:rPr>
          <w:rFonts w:hint="default" w:ascii="Garamond" w:hAnsi="Garamond" w:cs="Garamond"/>
          <w:sz w:val="24"/>
          <w:szCs w:val="24"/>
          <w:lang w:val="en"/>
        </w:rPr>
        <w:t xml:space="preserve">30 Desember 1946 </w:t>
      </w:r>
      <w:r>
        <w:rPr>
          <w:rFonts w:hint="default" w:ascii="Garamond" w:hAnsi="Garamond" w:cs="Garamond"/>
          <w:sz w:val="24"/>
          <w:szCs w:val="24"/>
        </w:rPr>
        <w:t xml:space="preserve">dan meninggal </w:t>
      </w:r>
      <w:r>
        <w:rPr>
          <w:rFonts w:hint="default" w:ascii="Garamond" w:hAnsi="Garamond" w:cs="Garamond"/>
          <w:sz w:val="24"/>
          <w:szCs w:val="24"/>
          <w:lang w:val="en"/>
        </w:rPr>
        <w:t xml:space="preserve"> 23 Juli 2021</w:t>
      </w:r>
      <w:r>
        <w:rPr>
          <w:rFonts w:hint="default" w:ascii="Garamond" w:hAnsi="Garamond" w:cs="Garamond"/>
          <w:sz w:val="24"/>
          <w:szCs w:val="24"/>
        </w:rPr>
        <w:t>. Huza</w:t>
      </w:r>
      <w:r>
        <w:rPr>
          <w:rFonts w:hint="default" w:ascii="Garamond" w:hAnsi="Garamond" w:cs="Garamond"/>
          <w:sz w:val="24"/>
          <w:szCs w:val="24"/>
          <w:lang w:val="en-US"/>
        </w:rPr>
        <w:t>em</w:t>
      </w:r>
      <w:r>
        <w:rPr>
          <w:rFonts w:hint="default" w:ascii="Garamond" w:hAnsi="Garamond" w:cs="Garamond"/>
          <w:sz w:val="24"/>
          <w:szCs w:val="24"/>
        </w:rPr>
        <w:t>ah</w:t>
      </w:r>
      <w:r>
        <w:rPr>
          <w:rFonts w:hint="default" w:ascii="Garamond" w:hAnsi="Garamond" w:cs="Garamond"/>
          <w:sz w:val="24"/>
          <w:szCs w:val="24"/>
          <w:lang w:val="en"/>
        </w:rPr>
        <w:t xml:space="preserve"> </w:t>
      </w:r>
      <w:r>
        <w:rPr>
          <w:rFonts w:hint="default" w:ascii="Garamond" w:hAnsi="Garamond" w:cs="Garamond"/>
          <w:sz w:val="24"/>
          <w:szCs w:val="24"/>
        </w:rPr>
        <w:t xml:space="preserve">merupakan intelektual muslim Indonesia </w:t>
      </w:r>
      <w:r>
        <w:rPr>
          <w:rFonts w:hint="default" w:ascii="Garamond" w:hAnsi="Garamond" w:cs="Garamond"/>
          <w:sz w:val="24"/>
          <w:szCs w:val="24"/>
          <w:lang w:val="en"/>
        </w:rPr>
        <w:t xml:space="preserve">pakar </w:t>
      </w:r>
      <w:r>
        <w:rPr>
          <w:rFonts w:hint="default" w:ascii="Garamond" w:hAnsi="Garamond" w:cs="Garamond"/>
          <w:sz w:val="24"/>
          <w:szCs w:val="24"/>
        </w:rPr>
        <w:t xml:space="preserve">di bidang </w:t>
      </w:r>
      <w:r>
        <w:rPr>
          <w:rFonts w:hint="default" w:ascii="Garamond" w:hAnsi="Garamond" w:cs="Garamond"/>
          <w:sz w:val="24"/>
          <w:szCs w:val="24"/>
          <w:lang w:val="en"/>
        </w:rPr>
        <w:t>fikih perbandingan mazhab. Huzaemah menempuh pendidikan dasar hingga perguruan tinggi di lembaga pendidikan Alkhairaat. Pada 1975, ia meraih gelar Sarjana Muda (BA) dari Fakultas Syariah Universitas Alkhairaat</w:t>
      </w:r>
      <w:r>
        <w:rPr>
          <w:rFonts w:hint="default" w:ascii="Garamond" w:hAnsi="Garamond" w:cs="Garamond"/>
          <w:sz w:val="24"/>
          <w:szCs w:val="24"/>
        </w:rPr>
        <w:t>. Kemudian</w:t>
      </w:r>
      <w:r>
        <w:rPr>
          <w:rFonts w:hint="default" w:ascii="Garamond" w:hAnsi="Garamond" w:cs="Garamond"/>
          <w:sz w:val="24"/>
          <w:szCs w:val="24"/>
          <w:lang w:val="en"/>
        </w:rPr>
        <w:t xml:space="preserve"> </w:t>
      </w:r>
      <w:r>
        <w:rPr>
          <w:rFonts w:hint="default" w:ascii="Garamond" w:hAnsi="Garamond" w:cs="Garamond"/>
          <w:sz w:val="24"/>
          <w:szCs w:val="24"/>
        </w:rPr>
        <w:t xml:space="preserve">selang </w:t>
      </w:r>
      <w:r>
        <w:rPr>
          <w:rFonts w:hint="default" w:ascii="Garamond" w:hAnsi="Garamond" w:cs="Garamond"/>
          <w:sz w:val="24"/>
          <w:szCs w:val="24"/>
          <w:lang w:val="en"/>
        </w:rPr>
        <w:t>dua tahun</w:t>
      </w:r>
      <w:r>
        <w:rPr>
          <w:rFonts w:hint="default" w:ascii="Garamond" w:hAnsi="Garamond" w:cs="Garamond"/>
          <w:sz w:val="24"/>
          <w:szCs w:val="24"/>
        </w:rPr>
        <w:t xml:space="preserve"> berikutnya</w:t>
      </w:r>
      <w:r>
        <w:rPr>
          <w:rFonts w:hint="default" w:ascii="Garamond" w:hAnsi="Garamond" w:cs="Garamond"/>
          <w:sz w:val="24"/>
          <w:szCs w:val="24"/>
          <w:lang w:val="en"/>
        </w:rPr>
        <w:t>, ia me</w:t>
      </w:r>
      <w:r>
        <w:rPr>
          <w:rFonts w:hint="default" w:ascii="Garamond" w:hAnsi="Garamond" w:cs="Garamond"/>
          <w:sz w:val="24"/>
          <w:szCs w:val="24"/>
        </w:rPr>
        <w:t xml:space="preserve">neruskan </w:t>
      </w:r>
      <w:r>
        <w:rPr>
          <w:rFonts w:hint="default" w:ascii="Garamond" w:hAnsi="Garamond" w:cs="Garamond"/>
          <w:sz w:val="24"/>
          <w:szCs w:val="24"/>
          <w:lang w:val="en"/>
        </w:rPr>
        <w:t>studinya ke Universitas Al-Azhar, Kairo, Mesir</w:t>
      </w:r>
      <w:r>
        <w:rPr>
          <w:rFonts w:hint="default" w:ascii="Garamond" w:hAnsi="Garamond" w:cs="Garamond"/>
          <w:sz w:val="24"/>
          <w:szCs w:val="24"/>
        </w:rPr>
        <w:t xml:space="preserve"> sampai menyelesaikan</w:t>
      </w:r>
      <w:r>
        <w:rPr>
          <w:rFonts w:hint="default" w:ascii="Garamond" w:hAnsi="Garamond" w:cs="Garamond"/>
          <w:sz w:val="24"/>
          <w:szCs w:val="24"/>
          <w:lang w:val="en"/>
        </w:rPr>
        <w:t>h Master of Arts (MA) pada 1981 dan doktor</w:t>
      </w:r>
      <w:r>
        <w:rPr>
          <w:rFonts w:hint="default" w:ascii="Garamond" w:hAnsi="Garamond" w:cs="Garamond"/>
          <w:sz w:val="24"/>
          <w:szCs w:val="24"/>
        </w:rPr>
        <w:t>nya</w:t>
      </w:r>
      <w:r>
        <w:rPr>
          <w:rFonts w:hint="default" w:ascii="Garamond" w:hAnsi="Garamond" w:cs="Garamond"/>
          <w:sz w:val="24"/>
          <w:szCs w:val="24"/>
          <w:lang w:val="en"/>
        </w:rPr>
        <w:t xml:space="preserve"> pada 1984 </w:t>
      </w:r>
      <w:r>
        <w:rPr>
          <w:rFonts w:hint="default" w:ascii="Garamond" w:hAnsi="Garamond" w:cs="Garamond"/>
          <w:sz w:val="24"/>
          <w:szCs w:val="24"/>
        </w:rPr>
        <w:t xml:space="preserve">dan semuanya </w:t>
      </w:r>
      <w:r>
        <w:rPr>
          <w:rFonts w:hint="default" w:ascii="Garamond" w:hAnsi="Garamond" w:cs="Garamond"/>
          <w:sz w:val="24"/>
          <w:szCs w:val="24"/>
          <w:lang w:val="en"/>
        </w:rPr>
        <w:t>mendapatkan predikat yudicium cumlaude</w:t>
      </w:r>
      <w:r>
        <w:rPr>
          <w:rFonts w:hint="default" w:ascii="Garamond" w:hAnsi="Garamond" w:cs="Garamond"/>
          <w:sz w:val="24"/>
          <w:szCs w:val="24"/>
        </w:rPr>
        <w:t xml:space="preserve">. </w:t>
      </w:r>
    </w:p>
    <w:p>
      <w:pPr>
        <w:spacing w:beforeLines="0" w:after="200" w:afterLines="0" w:line="360" w:lineRule="auto"/>
        <w:ind w:firstLine="720"/>
        <w:jc w:val="both"/>
        <w:rPr>
          <w:rFonts w:hint="default" w:ascii="Garamond" w:hAnsi="Garamond" w:cs="Garamond"/>
          <w:sz w:val="24"/>
          <w:szCs w:val="24"/>
        </w:rPr>
      </w:pPr>
      <w:r>
        <w:rPr>
          <w:rFonts w:hint="default" w:ascii="Garamond" w:hAnsi="Garamond" w:cs="Garamond"/>
          <w:sz w:val="24"/>
          <w:szCs w:val="24"/>
        </w:rPr>
        <w:t>Huza</w:t>
      </w:r>
      <w:r>
        <w:rPr>
          <w:rFonts w:hint="default" w:ascii="Garamond" w:hAnsi="Garamond" w:cs="Garamond"/>
          <w:sz w:val="24"/>
          <w:szCs w:val="24"/>
          <w:lang w:val="en-US"/>
        </w:rPr>
        <w:t>em</w:t>
      </w:r>
      <w:r>
        <w:rPr>
          <w:rFonts w:hint="default" w:ascii="Garamond" w:hAnsi="Garamond" w:cs="Garamond"/>
          <w:sz w:val="24"/>
          <w:szCs w:val="24"/>
        </w:rPr>
        <w:t>ah merupakan salah satu</w:t>
      </w:r>
      <w:r>
        <w:rPr>
          <w:rFonts w:hint="default" w:ascii="Garamond" w:hAnsi="Garamond" w:cs="Garamond"/>
          <w:sz w:val="24"/>
          <w:szCs w:val="24"/>
          <w:lang w:val="en"/>
        </w:rPr>
        <w:t xml:space="preserve"> </w:t>
      </w:r>
      <w:r>
        <w:rPr>
          <w:rFonts w:hint="default" w:ascii="Garamond" w:hAnsi="Garamond" w:cs="Garamond"/>
          <w:sz w:val="24"/>
          <w:szCs w:val="24"/>
        </w:rPr>
        <w:t>Profesor</w:t>
      </w:r>
      <w:r>
        <w:rPr>
          <w:rFonts w:hint="default" w:ascii="Garamond" w:hAnsi="Garamond" w:cs="Garamond"/>
          <w:sz w:val="24"/>
          <w:szCs w:val="24"/>
          <w:lang w:val="en"/>
        </w:rPr>
        <w:t xml:space="preserve"> </w:t>
      </w:r>
      <w:r>
        <w:rPr>
          <w:rFonts w:hint="default" w:ascii="Garamond" w:hAnsi="Garamond" w:cs="Garamond"/>
          <w:sz w:val="24"/>
          <w:szCs w:val="24"/>
        </w:rPr>
        <w:t xml:space="preserve">perempuan </w:t>
      </w:r>
      <w:r>
        <w:rPr>
          <w:rFonts w:hint="default" w:ascii="Garamond" w:hAnsi="Garamond" w:cs="Garamond"/>
          <w:sz w:val="24"/>
          <w:szCs w:val="24"/>
          <w:lang w:val="en"/>
        </w:rPr>
        <w:t xml:space="preserve">di Universitas Islam Negeri Syarif Hidayatullah </w:t>
      </w:r>
      <w:r>
        <w:rPr>
          <w:rFonts w:hint="default" w:ascii="Garamond" w:hAnsi="Garamond" w:cs="Garamond"/>
          <w:sz w:val="24"/>
          <w:szCs w:val="24"/>
        </w:rPr>
        <w:t xml:space="preserve">dan </w:t>
      </w:r>
      <w:r>
        <w:rPr>
          <w:rFonts w:hint="default" w:ascii="Garamond" w:hAnsi="Garamond" w:cs="Garamond"/>
          <w:sz w:val="24"/>
          <w:szCs w:val="24"/>
          <w:lang w:val="en"/>
        </w:rPr>
        <w:t xml:space="preserve">juga </w:t>
      </w:r>
      <w:r>
        <w:rPr>
          <w:rFonts w:hint="default" w:ascii="Garamond" w:hAnsi="Garamond" w:cs="Garamond"/>
          <w:sz w:val="24"/>
          <w:szCs w:val="24"/>
        </w:rPr>
        <w:t>menjabat</w:t>
      </w:r>
      <w:r>
        <w:rPr>
          <w:rFonts w:hint="default" w:ascii="Garamond" w:hAnsi="Garamond" w:cs="Garamond"/>
          <w:sz w:val="24"/>
          <w:szCs w:val="24"/>
          <w:lang w:val="en"/>
        </w:rPr>
        <w:t xml:space="preserve"> rektor Institut Ilmu Al-Quran, Jakarta (2018-2022). </w:t>
      </w:r>
      <w:r>
        <w:rPr>
          <w:rFonts w:hint="default" w:ascii="Garamond" w:hAnsi="Garamond" w:cs="Garamond"/>
          <w:sz w:val="24"/>
          <w:szCs w:val="24"/>
        </w:rPr>
        <w:t xml:space="preserve">Tidak hanya itu, </w:t>
      </w:r>
      <w:r>
        <w:rPr>
          <w:rFonts w:hint="default" w:ascii="Garamond" w:hAnsi="Garamond" w:cs="Garamond"/>
          <w:sz w:val="24"/>
          <w:szCs w:val="24"/>
          <w:lang w:val="en"/>
        </w:rPr>
        <w:t>Huzaemah juga aktif menjadi anggota M</w:t>
      </w:r>
      <w:r>
        <w:rPr>
          <w:rFonts w:hint="default" w:ascii="Garamond" w:hAnsi="Garamond" w:cs="Garamond"/>
          <w:sz w:val="24"/>
          <w:szCs w:val="24"/>
        </w:rPr>
        <w:t xml:space="preserve">ajelis </w:t>
      </w:r>
      <w:r>
        <w:rPr>
          <w:rFonts w:hint="default" w:ascii="Garamond" w:hAnsi="Garamond" w:cs="Garamond"/>
          <w:sz w:val="24"/>
          <w:szCs w:val="24"/>
          <w:lang w:val="en"/>
        </w:rPr>
        <w:t>U</w:t>
      </w:r>
      <w:r>
        <w:rPr>
          <w:rFonts w:hint="default" w:ascii="Garamond" w:hAnsi="Garamond" w:cs="Garamond"/>
          <w:sz w:val="24"/>
          <w:szCs w:val="24"/>
        </w:rPr>
        <w:t xml:space="preserve">lama </w:t>
      </w:r>
      <w:r>
        <w:rPr>
          <w:rFonts w:hint="default" w:ascii="Garamond" w:hAnsi="Garamond" w:cs="Garamond"/>
          <w:sz w:val="24"/>
          <w:szCs w:val="24"/>
          <w:lang w:val="en"/>
        </w:rPr>
        <w:t>I</w:t>
      </w:r>
      <w:r>
        <w:rPr>
          <w:rFonts w:hint="default" w:ascii="Garamond" w:hAnsi="Garamond" w:cs="Garamond"/>
          <w:sz w:val="24"/>
          <w:szCs w:val="24"/>
        </w:rPr>
        <w:t>ndonesia (MUI).</w:t>
      </w:r>
      <w:r>
        <w:rPr>
          <w:rFonts w:hint="default" w:ascii="Garamond" w:hAnsi="Garamond" w:cs="Garamond"/>
          <w:sz w:val="24"/>
          <w:szCs w:val="24"/>
          <w:lang w:val="en"/>
        </w:rPr>
        <w:t xml:space="preserve"> </w:t>
      </w:r>
      <w:r>
        <w:rPr>
          <w:rFonts w:hint="default" w:ascii="Garamond" w:hAnsi="Garamond" w:cs="Garamond"/>
          <w:sz w:val="24"/>
          <w:szCs w:val="24"/>
        </w:rPr>
        <w:t>I</w:t>
      </w:r>
      <w:r>
        <w:rPr>
          <w:rFonts w:hint="default" w:ascii="Garamond" w:hAnsi="Garamond" w:cs="Garamond"/>
          <w:sz w:val="24"/>
          <w:szCs w:val="24"/>
          <w:lang w:val="en"/>
        </w:rPr>
        <w:t>a menjadi anggota Komisi Fatwa MUI sejak tahun 1987 dan anggota Dewan Syariah Nasional MUI sejak 1997 dan 2000. Huzaemah juga pernah menjabat sebagai ketua bidang Fatwa Majelis Ulama Indonesia.</w:t>
      </w:r>
      <w:r>
        <w:rPr>
          <w:rFonts w:hint="default" w:ascii="Garamond" w:hAnsi="Garamond" w:cs="Garamond"/>
          <w:sz w:val="24"/>
          <w:szCs w:val="24"/>
        </w:rPr>
        <w:t xml:space="preserve"> </w:t>
      </w:r>
      <w:r>
        <w:rPr>
          <w:rFonts w:hint="default" w:ascii="Garamond" w:hAnsi="Garamond" w:cs="Garamond"/>
          <w:sz w:val="24"/>
          <w:szCs w:val="24"/>
          <w:lang w:val="en"/>
        </w:rPr>
        <w:t>Pada 2000, ia diangkat menjadi Ketua M</w:t>
      </w:r>
      <w:r>
        <w:rPr>
          <w:rFonts w:hint="default" w:ascii="Garamond" w:hAnsi="Garamond" w:cs="Garamond"/>
          <w:sz w:val="24"/>
          <w:szCs w:val="24"/>
        </w:rPr>
        <w:t xml:space="preserve">UI </w:t>
      </w:r>
      <w:r>
        <w:rPr>
          <w:rFonts w:hint="default" w:ascii="Garamond" w:hAnsi="Garamond" w:cs="Garamond"/>
          <w:sz w:val="24"/>
          <w:szCs w:val="24"/>
          <w:lang w:val="en"/>
        </w:rPr>
        <w:t>Pusat Bidang Pengajian dan Pengembangan sosial.</w:t>
      </w:r>
      <w:r>
        <w:rPr>
          <w:rFonts w:hint="default" w:ascii="Garamond" w:hAnsi="Garamond" w:cs="Garamond"/>
          <w:sz w:val="24"/>
          <w:szCs w:val="24"/>
        </w:rPr>
        <w:t xml:space="preserve"> </w:t>
      </w:r>
    </w:p>
    <w:p>
      <w:pPr>
        <w:spacing w:beforeLines="0" w:after="200" w:afterLines="0" w:line="360" w:lineRule="auto"/>
        <w:ind w:firstLine="720"/>
        <w:jc w:val="both"/>
        <w:rPr>
          <w:rFonts w:hint="default" w:ascii="Garamond" w:hAnsi="Garamond" w:cs="Garamond"/>
          <w:sz w:val="22"/>
          <w:szCs w:val="22"/>
        </w:rPr>
      </w:pPr>
      <w:r>
        <w:rPr>
          <w:rFonts w:hint="default" w:ascii="Garamond" w:hAnsi="Garamond" w:cs="Garamond"/>
          <w:sz w:val="24"/>
          <w:szCs w:val="24"/>
        </w:rPr>
        <w:t>Berbagai penghargaan yang pernah diterima Huza</w:t>
      </w:r>
      <w:r>
        <w:rPr>
          <w:rFonts w:hint="default" w:ascii="Garamond" w:hAnsi="Garamond" w:cs="Garamond"/>
          <w:sz w:val="24"/>
          <w:szCs w:val="24"/>
          <w:lang w:val="en-US"/>
        </w:rPr>
        <w:t>em</w:t>
      </w:r>
      <w:r>
        <w:rPr>
          <w:rFonts w:hint="default" w:ascii="Garamond" w:hAnsi="Garamond" w:cs="Garamond"/>
          <w:sz w:val="24"/>
          <w:szCs w:val="24"/>
        </w:rPr>
        <w:t xml:space="preserve">ah, antara lain </w:t>
      </w:r>
      <w:r>
        <w:rPr>
          <w:rFonts w:hint="default" w:ascii="Garamond" w:hAnsi="Garamond" w:cs="Garamond"/>
          <w:sz w:val="24"/>
          <w:szCs w:val="24"/>
          <w:lang w:val="en"/>
        </w:rPr>
        <w:t>Penghargaan “Kepemimpinan dan Manajemen Peningkatan Peranan Wanita” dari Menteri Negara Peranan Wanita RI (1999)</w:t>
      </w:r>
      <w:r>
        <w:rPr>
          <w:rFonts w:hint="default" w:ascii="Garamond" w:hAnsi="Garamond" w:cs="Garamond"/>
          <w:sz w:val="24"/>
          <w:szCs w:val="24"/>
        </w:rPr>
        <w:t xml:space="preserve">. </w:t>
      </w:r>
      <w:r>
        <w:rPr>
          <w:rFonts w:hint="default" w:ascii="Garamond" w:hAnsi="Garamond" w:cs="Garamond"/>
          <w:sz w:val="24"/>
          <w:szCs w:val="24"/>
          <w:lang w:val="en"/>
        </w:rPr>
        <w:t>Penghargaan Eramuslim Global Media atas kepedulian terhadap ilmu Syariah sebagai pakar fikih perempuan (2007)</w:t>
      </w:r>
      <w:r>
        <w:rPr>
          <w:rFonts w:hint="default" w:ascii="Garamond" w:hAnsi="Garamond" w:cs="Garamond"/>
          <w:sz w:val="24"/>
          <w:szCs w:val="24"/>
        </w:rPr>
        <w:t xml:space="preserve">, </w:t>
      </w:r>
      <w:r>
        <w:rPr>
          <w:rFonts w:hint="default" w:ascii="Garamond" w:hAnsi="Garamond" w:cs="Garamond"/>
          <w:sz w:val="24"/>
          <w:szCs w:val="24"/>
          <w:lang w:val="en"/>
        </w:rPr>
        <w:t>Satyalancana Wira Karya dari Presiden RI atas jasa sebagai anggota Tim Penyempurnaan Tafsir al-Qur’an Departemen Agama RI (2007)</w:t>
      </w:r>
      <w:r>
        <w:rPr>
          <w:rFonts w:hint="default" w:ascii="Garamond" w:hAnsi="Garamond" w:cs="Garamond"/>
          <w:sz w:val="24"/>
          <w:szCs w:val="24"/>
        </w:rPr>
        <w:t xml:space="preserve">, </w:t>
      </w:r>
      <w:r>
        <w:rPr>
          <w:rFonts w:hint="default" w:ascii="Garamond" w:hAnsi="Garamond" w:cs="Garamond"/>
          <w:sz w:val="24"/>
          <w:szCs w:val="24"/>
          <w:lang w:val="en"/>
        </w:rPr>
        <w:t>Penghargaan Women Award atas dedikasi, inovasi dan prestasinya dalam mewujudkan hak-hak perempuan dan anak dari rektor UIN Jakarta (2015)</w:t>
      </w:r>
      <w:r>
        <w:rPr>
          <w:rFonts w:hint="default" w:ascii="Garamond" w:hAnsi="Garamond" w:cs="Garamond"/>
          <w:sz w:val="24"/>
          <w:szCs w:val="24"/>
        </w:rPr>
        <w:t xml:space="preserve">, </w:t>
      </w:r>
      <w:r>
        <w:rPr>
          <w:rFonts w:hint="default" w:ascii="Garamond" w:hAnsi="Garamond" w:cs="Garamond"/>
          <w:sz w:val="24"/>
          <w:szCs w:val="24"/>
          <w:lang w:val="en"/>
        </w:rPr>
        <w:t>Satyalancana Karya Satya 30 Tahun (201</w:t>
      </w:r>
      <w:r>
        <w:rPr>
          <w:rFonts w:hint="default" w:ascii="Garamond" w:hAnsi="Garamond" w:cs="Garamond"/>
          <w:sz w:val="24"/>
          <w:szCs w:val="24"/>
        </w:rPr>
        <w:t xml:space="preserve">6). </w:t>
      </w:r>
      <w:r>
        <w:rPr>
          <w:rFonts w:hint="default" w:ascii="Garamond" w:hAnsi="Garamond" w:cs="Garamond"/>
          <w:sz w:val="24"/>
          <w:szCs w:val="24"/>
          <w:lang w:val="en"/>
        </w:rPr>
        <w:t>Beberapa buku yang ditulisnya antara lain adalah "Pengantar Perbandingan Mazhab" (2003), "Masail Fiqhiyah: Kajian Hukum Islam Kontemporer" (2005), dan "Fikih Perempuan Kontemporer" (2010)</w:t>
      </w:r>
      <w:r>
        <w:rPr>
          <w:rFonts w:hint="default" w:ascii="Garamond" w:hAnsi="Garamond" w:cs="Garamond"/>
          <w:sz w:val="24"/>
          <w:szCs w:val="24"/>
        </w:rPr>
        <w:t>,</w:t>
      </w:r>
      <w:r>
        <w:rPr>
          <w:rFonts w:hint="default" w:ascii="Garamond" w:hAnsi="Garamond" w:cs="Garamond"/>
          <w:sz w:val="24"/>
          <w:szCs w:val="24"/>
          <w:vertAlign w:val="superscript"/>
        </w:rPr>
        <w:footnoteReference w:id="23"/>
      </w:r>
      <w:r>
        <w:rPr>
          <w:rFonts w:hint="default" w:ascii="Garamond" w:hAnsi="Garamond" w:cs="Garamond"/>
          <w:sz w:val="24"/>
          <w:szCs w:val="24"/>
        </w:rPr>
        <w:t xml:space="preserve"> </w:t>
      </w:r>
      <w:r>
        <w:rPr>
          <w:rFonts w:hint="default" w:ascii="Garamond" w:hAnsi="Garamond" w:cs="Garamond"/>
          <w:sz w:val="22"/>
          <w:szCs w:val="22"/>
          <w:lang w:val="en"/>
        </w:rPr>
        <w:t>Penyimpangan Seksual (L</w:t>
      </w:r>
      <w:r>
        <w:rPr>
          <w:rFonts w:hint="default" w:ascii="Garamond" w:hAnsi="Garamond" w:cs="Garamond"/>
          <w:sz w:val="22"/>
          <w:szCs w:val="22"/>
        </w:rPr>
        <w:t>GBT</w:t>
      </w:r>
      <w:r>
        <w:rPr>
          <w:rFonts w:hint="default" w:ascii="Garamond" w:hAnsi="Garamond" w:cs="Garamond"/>
          <w:sz w:val="22"/>
          <w:szCs w:val="22"/>
          <w:lang w:val="en"/>
        </w:rPr>
        <w:t xml:space="preserve">) </w:t>
      </w:r>
      <w:r>
        <w:rPr>
          <w:rFonts w:hint="default" w:ascii="Garamond" w:hAnsi="Garamond" w:cs="Garamond"/>
          <w:sz w:val="22"/>
          <w:szCs w:val="22"/>
        </w:rPr>
        <w:t>d</w:t>
      </w:r>
      <w:r>
        <w:rPr>
          <w:rFonts w:hint="default" w:ascii="Garamond" w:hAnsi="Garamond" w:cs="Garamond"/>
          <w:sz w:val="22"/>
          <w:szCs w:val="22"/>
          <w:lang w:val="en"/>
        </w:rPr>
        <w:t>alam Pandangan Hukum Islam</w:t>
      </w:r>
      <w:r>
        <w:rPr>
          <w:rFonts w:hint="default" w:ascii="Garamond" w:hAnsi="Garamond" w:cs="Garamond"/>
          <w:sz w:val="22"/>
          <w:szCs w:val="22"/>
        </w:rPr>
        <w:t xml:space="preserve"> (</w:t>
      </w:r>
      <w:r>
        <w:rPr>
          <w:rFonts w:hint="default" w:ascii="Garamond" w:hAnsi="Garamond" w:cs="Garamond"/>
          <w:sz w:val="22"/>
          <w:szCs w:val="22"/>
          <w:lang w:val="en"/>
        </w:rPr>
        <w:t>201</w:t>
      </w:r>
      <w:r>
        <w:rPr>
          <w:rFonts w:hint="default" w:ascii="Garamond" w:hAnsi="Garamond" w:cs="Garamond"/>
          <w:sz w:val="22"/>
          <w:szCs w:val="22"/>
        </w:rPr>
        <w:t xml:space="preserve">8). </w:t>
      </w:r>
      <w:r>
        <w:rPr>
          <w:rFonts w:hint="default" w:ascii="Garamond" w:hAnsi="Garamond" w:cs="Garamond"/>
          <w:sz w:val="22"/>
          <w:szCs w:val="22"/>
          <w:vertAlign w:val="superscript"/>
        </w:rPr>
        <w:footnoteReference w:id="24"/>
      </w:r>
    </w:p>
    <w:p>
      <w:pPr>
        <w:spacing w:beforeLines="0" w:after="200" w:afterLines="0" w:line="360" w:lineRule="auto"/>
        <w:ind w:firstLine="720"/>
        <w:jc w:val="both"/>
        <w:rPr>
          <w:rFonts w:hint="default" w:ascii="Garamond" w:hAnsi="Garamond" w:cs="Garamond"/>
          <w:sz w:val="24"/>
          <w:szCs w:val="24"/>
        </w:rPr>
      </w:pPr>
      <w:r>
        <w:rPr>
          <w:rFonts w:hint="default" w:ascii="Garamond" w:hAnsi="Garamond" w:cs="Garamond"/>
          <w:sz w:val="24"/>
          <w:szCs w:val="24"/>
        </w:rPr>
        <w:t>Berdasarkan uraian potret diaspora intelektual dan aktifitas sosial Musdah Mulia dan Huza</w:t>
      </w:r>
      <w:r>
        <w:rPr>
          <w:rFonts w:hint="default" w:ascii="Garamond" w:hAnsi="Garamond" w:cs="Garamond"/>
          <w:sz w:val="24"/>
          <w:szCs w:val="24"/>
          <w:lang w:val="en-US"/>
        </w:rPr>
        <w:t>em</w:t>
      </w:r>
      <w:r>
        <w:rPr>
          <w:rFonts w:hint="default" w:ascii="Garamond" w:hAnsi="Garamond" w:cs="Garamond"/>
          <w:sz w:val="24"/>
          <w:szCs w:val="24"/>
        </w:rPr>
        <w:t xml:space="preserve">ah Tahido Yanggo di atas dapat dikatakan bahwa keduanya meruapakan sosok intelktual muslim d Indonesia yang memiliki latar belakangan pendidikan Islam secara intensif dan juga aktifdalam aktifitas pendidikan dan sosial keberagamaan. Latarbelakang intelktual dan sosial masing-masing tersebut memungkinkan berpengaruh pada paradigma pemikiran hukum Islam yang dibangunya, tiak terkecuali dalam pemikiran hukum Islam tentang homoseksual yang menjadi objek pokok penelitian ini. </w:t>
      </w:r>
    </w:p>
    <w:p>
      <w:pPr>
        <w:spacing w:beforeLines="0" w:after="200" w:afterLines="0" w:line="360" w:lineRule="auto"/>
        <w:ind w:firstLine="720"/>
        <w:jc w:val="both"/>
        <w:rPr>
          <w:rFonts w:hint="default" w:ascii="Garamond" w:hAnsi="Garamond" w:cs="Garamond"/>
          <w:b/>
          <w:sz w:val="24"/>
          <w:szCs w:val="24"/>
        </w:rPr>
      </w:pPr>
    </w:p>
    <w:p>
      <w:pPr>
        <w:spacing w:beforeLines="0" w:after="200" w:afterLines="0" w:line="360" w:lineRule="auto"/>
        <w:jc w:val="both"/>
        <w:rPr>
          <w:rFonts w:hint="default" w:ascii="Garamond" w:hAnsi="Garamond" w:cs="Garamond"/>
          <w:b/>
          <w:sz w:val="24"/>
          <w:szCs w:val="24"/>
        </w:rPr>
      </w:pPr>
      <w:r>
        <w:rPr>
          <w:rFonts w:hint="default" w:ascii="Garamond" w:hAnsi="Garamond" w:cs="Garamond"/>
          <w:b/>
          <w:sz w:val="24"/>
          <w:szCs w:val="24"/>
        </w:rPr>
        <w:t xml:space="preserve">Pandangan Musdah Mulia dan </w:t>
      </w:r>
      <w:r>
        <w:rPr>
          <w:rFonts w:hint="default" w:ascii="Garamond" w:hAnsi="Garamond" w:cs="Garamond"/>
          <w:b/>
          <w:bCs/>
          <w:sz w:val="24"/>
          <w:szCs w:val="24"/>
        </w:rPr>
        <w:t>Huza</w:t>
      </w:r>
      <w:r>
        <w:rPr>
          <w:rFonts w:hint="default" w:ascii="Garamond" w:hAnsi="Garamond" w:cs="Garamond"/>
          <w:b/>
          <w:bCs/>
          <w:sz w:val="24"/>
          <w:szCs w:val="24"/>
          <w:lang w:val="en-US"/>
        </w:rPr>
        <w:t>em</w:t>
      </w:r>
      <w:r>
        <w:rPr>
          <w:rFonts w:hint="default" w:ascii="Garamond" w:hAnsi="Garamond" w:cs="Garamond"/>
          <w:b/>
          <w:bCs/>
          <w:sz w:val="24"/>
          <w:szCs w:val="24"/>
        </w:rPr>
        <w:t>ah</w:t>
      </w:r>
      <w:r>
        <w:rPr>
          <w:rFonts w:hint="default" w:ascii="Garamond" w:hAnsi="Garamond" w:cs="Garamond"/>
          <w:b/>
          <w:sz w:val="24"/>
          <w:szCs w:val="24"/>
        </w:rPr>
        <w:t xml:space="preserve"> Tahido Yanggo Tentang Hukum Homoseksual</w:t>
      </w:r>
    </w:p>
    <w:p>
      <w:pPr>
        <w:spacing w:beforeLines="0" w:afterLines="0" w:line="360" w:lineRule="auto"/>
        <w:ind w:firstLine="720"/>
        <w:jc w:val="both"/>
        <w:rPr>
          <w:rFonts w:hint="default" w:ascii="Garamond" w:hAnsi="Garamond" w:cs="Garamond"/>
          <w:sz w:val="24"/>
          <w:szCs w:val="24"/>
        </w:rPr>
      </w:pPr>
      <w:r>
        <w:rPr>
          <w:rFonts w:hint="default" w:ascii="Garamond" w:hAnsi="Garamond" w:cs="Garamond"/>
          <w:sz w:val="24"/>
          <w:szCs w:val="24"/>
        </w:rPr>
        <w:t xml:space="preserve">Sebelum lebih jauh memahami pemikiran dua tokoh yang menjadi objek inti penelitian, penulis akan terlebih dahulu menguraikan penjelasan ontologis tentang homoseksual, baik dari term sosiologis maupun hukum Islam. Istilah </w:t>
      </w:r>
      <w:r>
        <w:rPr>
          <w:rFonts w:hint="default" w:ascii="Garamond" w:hAnsi="Garamond" w:cs="Garamond"/>
          <w:sz w:val="24"/>
          <w:szCs w:val="24"/>
          <w:lang w:val="en"/>
        </w:rPr>
        <w:t>homoseksual</w:t>
      </w:r>
      <w:r>
        <w:rPr>
          <w:rFonts w:hint="default" w:ascii="Garamond" w:hAnsi="Garamond" w:cs="Garamond"/>
          <w:sz w:val="24"/>
          <w:szCs w:val="24"/>
        </w:rPr>
        <w:t xml:space="preserve"> secara sosiologis</w:t>
      </w:r>
      <w:r>
        <w:rPr>
          <w:rFonts w:hint="default" w:ascii="Garamond" w:hAnsi="Garamond" w:cs="Garamond"/>
          <w:sz w:val="24"/>
          <w:szCs w:val="24"/>
          <w:lang w:val="en"/>
        </w:rPr>
        <w:t xml:space="preserve"> </w:t>
      </w:r>
      <w:r>
        <w:rPr>
          <w:rFonts w:hint="default" w:ascii="Garamond" w:hAnsi="Garamond" w:cs="Garamond"/>
          <w:sz w:val="24"/>
          <w:szCs w:val="24"/>
        </w:rPr>
        <w:t>merupakan kondisi seseorang</w:t>
      </w:r>
      <w:r>
        <w:rPr>
          <w:rFonts w:hint="default" w:ascii="Garamond" w:hAnsi="Garamond" w:cs="Garamond"/>
          <w:sz w:val="24"/>
          <w:szCs w:val="24"/>
          <w:lang w:val="en"/>
        </w:rPr>
        <w:t xml:space="preserve"> yang</w:t>
      </w:r>
      <w:r>
        <w:rPr>
          <w:rFonts w:hint="default" w:ascii="Garamond" w:hAnsi="Garamond" w:cs="Garamond"/>
          <w:sz w:val="24"/>
          <w:szCs w:val="24"/>
        </w:rPr>
        <w:t xml:space="preserve"> memiliki</w:t>
      </w:r>
      <w:r>
        <w:rPr>
          <w:rFonts w:hint="default" w:ascii="Garamond" w:hAnsi="Garamond" w:cs="Garamond"/>
          <w:sz w:val="24"/>
          <w:szCs w:val="24"/>
          <w:lang w:val="en"/>
        </w:rPr>
        <w:t xml:space="preserve"> </w:t>
      </w:r>
      <w:r>
        <w:rPr>
          <w:rFonts w:hint="default" w:ascii="Garamond" w:hAnsi="Garamond" w:cs="Garamond"/>
          <w:sz w:val="24"/>
          <w:szCs w:val="24"/>
        </w:rPr>
        <w:t>ke</w:t>
      </w:r>
      <w:r>
        <w:rPr>
          <w:rFonts w:hint="default" w:ascii="Garamond" w:hAnsi="Garamond" w:cs="Garamond"/>
          <w:sz w:val="24"/>
          <w:szCs w:val="24"/>
          <w:lang w:val="en"/>
        </w:rPr>
        <w:t>cenderung hubungan seksual dengan sesama jenis kelamin</w:t>
      </w:r>
      <w:r>
        <w:rPr>
          <w:rFonts w:hint="default" w:ascii="Garamond" w:hAnsi="Garamond" w:cs="Garamond"/>
          <w:sz w:val="24"/>
          <w:szCs w:val="24"/>
        </w:rPr>
        <w:t>.</w:t>
      </w:r>
      <w:r>
        <w:rPr>
          <w:rFonts w:hint="default" w:ascii="Garamond" w:hAnsi="Garamond" w:cs="Garamond"/>
          <w:sz w:val="24"/>
          <w:szCs w:val="24"/>
          <w:lang w:val="en"/>
        </w:rPr>
        <w:t xml:space="preserve"> </w:t>
      </w:r>
      <w:r>
        <w:rPr>
          <w:rFonts w:hint="default" w:ascii="Garamond" w:hAnsi="Garamond" w:cs="Garamond"/>
          <w:sz w:val="24"/>
          <w:szCs w:val="24"/>
        </w:rPr>
        <w:t xml:space="preserve">Dalam konteks ini realsi </w:t>
      </w:r>
      <w:r>
        <w:rPr>
          <w:rFonts w:hint="default" w:ascii="Garamond" w:hAnsi="Garamond" w:cs="Garamond"/>
          <w:sz w:val="24"/>
          <w:szCs w:val="24"/>
          <w:lang w:val="en"/>
        </w:rPr>
        <w:t xml:space="preserve"> antara laki</w:t>
      </w:r>
      <w:r>
        <w:rPr>
          <w:rFonts w:hint="default" w:ascii="Garamond" w:hAnsi="Garamond" w:cs="Garamond"/>
          <w:sz w:val="24"/>
          <w:szCs w:val="24"/>
        </w:rPr>
        <w:t>-</w:t>
      </w:r>
      <w:r>
        <w:rPr>
          <w:rFonts w:hint="default" w:ascii="Garamond" w:hAnsi="Garamond" w:cs="Garamond"/>
          <w:sz w:val="24"/>
          <w:szCs w:val="24"/>
          <w:lang w:val="en"/>
        </w:rPr>
        <w:t>laki dengan laki-laki di</w:t>
      </w:r>
      <w:r>
        <w:rPr>
          <w:rFonts w:hint="default" w:ascii="Garamond" w:hAnsi="Garamond" w:cs="Garamond"/>
          <w:sz w:val="24"/>
          <w:szCs w:val="24"/>
        </w:rPr>
        <w:t>sebut G</w:t>
      </w:r>
      <w:r>
        <w:rPr>
          <w:rFonts w:hint="default" w:ascii="Garamond" w:hAnsi="Garamond" w:cs="Garamond"/>
          <w:sz w:val="24"/>
          <w:szCs w:val="24"/>
          <w:lang w:val="en"/>
        </w:rPr>
        <w:t xml:space="preserve">ay. Sedangkan antara perempuan dengan perempuan disebut </w:t>
      </w:r>
      <w:r>
        <w:rPr>
          <w:rFonts w:hint="default" w:ascii="Garamond" w:hAnsi="Garamond" w:cs="Garamond"/>
          <w:sz w:val="24"/>
          <w:szCs w:val="24"/>
        </w:rPr>
        <w:t>L</w:t>
      </w:r>
      <w:r>
        <w:rPr>
          <w:rFonts w:hint="default" w:ascii="Garamond" w:hAnsi="Garamond" w:cs="Garamond"/>
          <w:sz w:val="24"/>
          <w:szCs w:val="24"/>
          <w:lang w:val="en"/>
        </w:rPr>
        <w:t>esbian.</w:t>
      </w:r>
      <w:r>
        <w:rPr>
          <w:rFonts w:hint="default" w:ascii="Garamond" w:hAnsi="Garamond" w:cs="Garamond"/>
          <w:sz w:val="24"/>
          <w:szCs w:val="24"/>
        </w:rPr>
        <w:t xml:space="preserve"> Sementara itu,</w:t>
      </w:r>
      <w:r>
        <w:rPr>
          <w:rFonts w:hint="default" w:ascii="Garamond" w:hAnsi="Garamond" w:cs="Garamond"/>
          <w:sz w:val="24"/>
          <w:szCs w:val="24"/>
          <w:lang w:val="en"/>
        </w:rPr>
        <w:t xml:space="preserve"> gay </w:t>
      </w:r>
      <w:r>
        <w:rPr>
          <w:rFonts w:hint="default" w:ascii="Garamond" w:hAnsi="Garamond" w:cs="Garamond"/>
          <w:sz w:val="24"/>
          <w:szCs w:val="24"/>
        </w:rPr>
        <w:t xml:space="preserve">dalam terminologi hukum Islam </w:t>
      </w:r>
      <w:r>
        <w:rPr>
          <w:rFonts w:hint="default" w:ascii="Garamond" w:hAnsi="Garamond" w:cs="Garamond"/>
          <w:sz w:val="24"/>
          <w:szCs w:val="24"/>
          <w:lang w:val="en"/>
        </w:rPr>
        <w:t>disebut  al-liwâth</w:t>
      </w:r>
      <w:r>
        <w:rPr>
          <w:rFonts w:hint="default" w:ascii="Garamond" w:hAnsi="Garamond" w:cs="Garamond"/>
          <w:sz w:val="24"/>
          <w:szCs w:val="24"/>
        </w:rPr>
        <w:t>. Sebutan tersebut dinisbatkan pada kaum Nabi Luth.  Adapun dalam ranah praksisnya, maksud dari perbuatan liwath yakni laki-laki memasukan alat kelaminya ke dalam dubur laki-laki lain. Sedangkan Lesbian yang dalam term hukum Islam disebut as-sihâq, yakni perempuan yang orientasi seksualnya pada sesama perempua melalui cara menggesek-gesekkan anggota tubuhnya dengan anggota tubuh perempuan lainnya.</w:t>
      </w:r>
      <w:r>
        <w:rPr>
          <w:rFonts w:hint="default" w:ascii="Garamond" w:hAnsi="Garamond" w:cs="Garamond"/>
          <w:sz w:val="24"/>
          <w:szCs w:val="24"/>
          <w:vertAlign w:val="superscript"/>
        </w:rPr>
        <w:footnoteReference w:id="25"/>
      </w:r>
    </w:p>
    <w:p>
      <w:pPr>
        <w:spacing w:beforeLines="0" w:afterLines="0" w:line="360" w:lineRule="auto"/>
        <w:ind w:firstLine="720" w:firstLineChars="0"/>
        <w:jc w:val="both"/>
        <w:rPr>
          <w:rFonts w:hint="default" w:ascii="Garamond" w:hAnsi="Garamond" w:cs="Garamond"/>
          <w:sz w:val="24"/>
          <w:szCs w:val="24"/>
        </w:rPr>
      </w:pPr>
      <w:r>
        <w:rPr>
          <w:rFonts w:hint="default" w:ascii="Garamond" w:hAnsi="Garamond" w:cs="Garamond"/>
          <w:sz w:val="24"/>
          <w:szCs w:val="24"/>
        </w:rPr>
        <w:t xml:space="preserve">Adapun Biseksual merupakan sebutan bagi seseorang yang memiliki orientasi seksual, baik kepada laki-laki maupun perempuan secara bersamaan. Dalam term hukum Islam, istilah biseksual  tidak ditemukan secara eksplisit, akan tetapi praktik biseksual dianalogikan dengan praktik homoseksual, baik </w:t>
      </w:r>
      <w:r>
        <w:rPr>
          <w:rFonts w:hint="default" w:ascii="Garamond" w:hAnsi="Garamond" w:cs="Garamond"/>
          <w:i/>
          <w:iCs/>
          <w:sz w:val="24"/>
          <w:szCs w:val="24"/>
        </w:rPr>
        <w:t>liwât</w:t>
      </w:r>
      <w:r>
        <w:rPr>
          <w:rFonts w:hint="default" w:ascii="Garamond" w:hAnsi="Garamond" w:cs="Garamond"/>
          <w:i/>
          <w:iCs/>
          <w:sz w:val="24"/>
          <w:szCs w:val="24"/>
          <w:lang w:val="en-US"/>
        </w:rPr>
        <w:t xml:space="preserve"> </w:t>
      </w:r>
      <w:r>
        <w:rPr>
          <w:rFonts w:hint="default" w:ascii="Garamond" w:hAnsi="Garamond" w:cs="Garamond"/>
          <w:i w:val="0"/>
          <w:iCs w:val="0"/>
          <w:sz w:val="24"/>
          <w:szCs w:val="24"/>
          <w:lang w:val="en-US"/>
        </w:rPr>
        <w:t>(sesama laki-laki)</w:t>
      </w:r>
      <w:r>
        <w:rPr>
          <w:rFonts w:hint="default" w:ascii="Garamond" w:hAnsi="Garamond" w:cs="Garamond"/>
          <w:i w:val="0"/>
          <w:iCs w:val="0"/>
          <w:sz w:val="24"/>
          <w:szCs w:val="24"/>
        </w:rPr>
        <w:t xml:space="preserve"> </w:t>
      </w:r>
      <w:r>
        <w:rPr>
          <w:rFonts w:hint="default" w:ascii="Garamond" w:hAnsi="Garamond" w:cs="Garamond"/>
          <w:sz w:val="24"/>
          <w:szCs w:val="24"/>
        </w:rPr>
        <w:t xml:space="preserve">maupun </w:t>
      </w:r>
      <w:r>
        <w:rPr>
          <w:rFonts w:hint="default" w:ascii="Garamond" w:hAnsi="Garamond" w:cs="Garamond"/>
          <w:i/>
          <w:iCs/>
          <w:sz w:val="24"/>
          <w:szCs w:val="24"/>
        </w:rPr>
        <w:t>sihâq</w:t>
      </w:r>
      <w:r>
        <w:rPr>
          <w:rFonts w:hint="default" w:ascii="Garamond" w:hAnsi="Garamond" w:cs="Garamond"/>
          <w:sz w:val="24"/>
          <w:szCs w:val="24"/>
        </w:rPr>
        <w:t xml:space="preserve"> </w:t>
      </w:r>
      <w:r>
        <w:rPr>
          <w:rFonts w:hint="default" w:ascii="Garamond" w:hAnsi="Garamond" w:cs="Garamond"/>
          <w:sz w:val="24"/>
          <w:szCs w:val="24"/>
          <w:lang w:val="en-US"/>
        </w:rPr>
        <w:t xml:space="preserve">(sesama perempuan). </w:t>
      </w:r>
      <w:r>
        <w:rPr>
          <w:rFonts w:hint="default" w:ascii="Garamond" w:hAnsi="Garamond" w:cs="Garamond"/>
          <w:sz w:val="24"/>
          <w:szCs w:val="24"/>
        </w:rPr>
        <w:t xml:space="preserve">Adapun transgender merupakan orang yang memiliki gangguan psikologis berupa identitas kejiwaan sikis dirinya  bertentangan dengan identitas fisik (kelamin) secara sosial. Oleh sebab itu, perilaku dan atau penampilan orang tersebut seringkali tidak sesuai dengan peran gender pada umumnya, bahkan ada yang sampai mengubah secara total jenis kelaminnya, atau yang disebut dengan transeksual.Sedangkan dalam orientasi seksualnya, seorang transgender bisa termasuk dalam kategori orang yang homoseksual, biseksual, atau juga heteroseksual. Istilah transgender dalam term hukum Islam disebut </w:t>
      </w:r>
      <w:r>
        <w:rPr>
          <w:rFonts w:hint="default" w:ascii="Garamond" w:hAnsi="Garamond" w:cs="Garamond"/>
          <w:i/>
          <w:sz w:val="24"/>
          <w:szCs w:val="24"/>
        </w:rPr>
        <w:t>mukhannats</w:t>
      </w:r>
      <w:r>
        <w:rPr>
          <w:rFonts w:hint="default" w:ascii="Garamond" w:hAnsi="Garamond" w:cs="Garamond"/>
          <w:sz w:val="24"/>
          <w:szCs w:val="24"/>
        </w:rPr>
        <w:t xml:space="preserve"> atau </w:t>
      </w:r>
      <w:r>
        <w:rPr>
          <w:rFonts w:hint="default" w:ascii="Garamond" w:hAnsi="Garamond" w:cs="Garamond"/>
          <w:i/>
          <w:sz w:val="24"/>
          <w:szCs w:val="24"/>
        </w:rPr>
        <w:t>khuntsa</w:t>
      </w:r>
      <w:r>
        <w:rPr>
          <w:rFonts w:hint="default" w:ascii="Garamond" w:hAnsi="Garamond" w:cs="Garamond"/>
          <w:sz w:val="24"/>
          <w:szCs w:val="24"/>
        </w:rPr>
        <w:t xml:space="preserve">, yakni laki-laki yang menyerupai perempuan dalam berbagai bentuk sikapnya, seperti kelembutan, gaya bicara dan gerak tubuhnya. Di Indonesia, transgender ini sering disebut dengan banci atau waria (perempuan-pria) atau wadam (perempuan-adam). </w:t>
      </w:r>
    </w:p>
    <w:p>
      <w:pPr>
        <w:spacing w:beforeLines="0" w:afterLines="0" w:line="360" w:lineRule="auto"/>
        <w:ind w:firstLine="720" w:firstLineChars="0"/>
        <w:jc w:val="both"/>
        <w:rPr>
          <w:rFonts w:hint="default" w:ascii="Garamond" w:hAnsi="Garamond" w:cs="Garamond"/>
          <w:sz w:val="24"/>
          <w:szCs w:val="24"/>
        </w:rPr>
      </w:pPr>
      <w:r>
        <w:rPr>
          <w:rFonts w:hint="default" w:ascii="Garamond" w:hAnsi="Garamond" w:cs="Garamond"/>
          <w:sz w:val="24"/>
          <w:szCs w:val="24"/>
        </w:rPr>
        <w:t xml:space="preserve">Menurut Ibn Hajar al_Asqalani, </w:t>
      </w:r>
      <w:r>
        <w:rPr>
          <w:rFonts w:hint="default" w:ascii="Garamond" w:hAnsi="Garamond" w:cs="Garamond"/>
          <w:i/>
          <w:sz w:val="24"/>
          <w:szCs w:val="24"/>
        </w:rPr>
        <w:t xml:space="preserve">mukhannats </w:t>
      </w:r>
      <w:r>
        <w:rPr>
          <w:rFonts w:hint="default" w:ascii="Garamond" w:hAnsi="Garamond" w:cs="Garamond"/>
          <w:sz w:val="24"/>
          <w:szCs w:val="24"/>
        </w:rPr>
        <w:t>dikalsifikasikan menjadi dua jenis.  Pertama,</w:t>
      </w:r>
      <w:r>
        <w:rPr>
          <w:rFonts w:hint="default" w:ascii="Garamond" w:hAnsi="Garamond" w:cs="Garamond"/>
          <w:i/>
          <w:sz w:val="24"/>
          <w:szCs w:val="24"/>
        </w:rPr>
        <w:t xml:space="preserve"> mukhannats</w:t>
      </w:r>
      <w:r>
        <w:rPr>
          <w:rFonts w:hint="default" w:ascii="Garamond" w:hAnsi="Garamond" w:cs="Garamond"/>
          <w:sz w:val="24"/>
          <w:szCs w:val="24"/>
        </w:rPr>
        <w:t xml:space="preserve"> alami, yaitu transgender disebabkan kelainan kromoson dan predisposisi hormonal. Jenis ini harus ada usaha untuk mengubahnya walaupun secara bertahap. Kedua, </w:t>
      </w:r>
      <w:r>
        <w:rPr>
          <w:rFonts w:hint="default" w:ascii="Garamond" w:hAnsi="Garamond" w:cs="Garamond"/>
          <w:i/>
          <w:sz w:val="24"/>
          <w:szCs w:val="24"/>
        </w:rPr>
        <w:t>mukhannats</w:t>
      </w:r>
      <w:r>
        <w:rPr>
          <w:rFonts w:hint="default" w:ascii="Garamond" w:hAnsi="Garamond" w:cs="Garamond"/>
          <w:sz w:val="24"/>
          <w:szCs w:val="24"/>
        </w:rPr>
        <w:t xml:space="preserve"> semu, yakni transgender konstruktif, seperti laki-laki yang ingin menjadi seperti perempuan, baik dalam bergerak, bertabiat, berbicara, berhias dan lain sebagainya. Jenis yang kedua inilah yang dicela oleh Allah, lebih-lebih mereka yang melakukan operasi kelamin, kecuali orang yang memiliki alat kelamin ganda atau  tidak memiliki alat kelamin sama sekali, maka diperbolehkan untuk operasi kelamin.</w:t>
      </w:r>
      <w:r>
        <w:rPr>
          <w:rFonts w:hint="default" w:ascii="Garamond" w:hAnsi="Garamond" w:cs="Garamond"/>
          <w:sz w:val="24"/>
          <w:szCs w:val="24"/>
          <w:vertAlign w:val="superscript"/>
        </w:rPr>
        <w:footnoteReference w:id="26"/>
      </w:r>
      <w:r>
        <w:rPr>
          <w:rFonts w:hint="default" w:ascii="Garamond" w:hAnsi="Garamond" w:cs="Garamond"/>
          <w:sz w:val="24"/>
          <w:szCs w:val="24"/>
        </w:rPr>
        <w:t xml:space="preserve"> Dari sini dapat disimpulkan bahwa prilaku LGBT memiliki titik kesamaan dalam konteks orientasi kesenangan, baik psikis ataupun biologis.</w:t>
      </w:r>
    </w:p>
    <w:p>
      <w:pPr>
        <w:spacing w:beforeLines="0" w:afterLines="0" w:line="360" w:lineRule="auto"/>
        <w:ind w:firstLine="720" w:firstLineChars="0"/>
        <w:jc w:val="both"/>
        <w:rPr>
          <w:rFonts w:hint="default" w:ascii="Garamond" w:hAnsi="Garamond" w:cs="Garamond"/>
          <w:sz w:val="24"/>
          <w:szCs w:val="24"/>
          <w:lang w:val="id-ID"/>
        </w:rPr>
      </w:pPr>
      <w:r>
        <w:rPr>
          <w:rFonts w:hint="default" w:ascii="Garamond" w:hAnsi="Garamond" w:cs="Garamond"/>
          <w:sz w:val="24"/>
          <w:szCs w:val="24"/>
        </w:rPr>
        <w:t xml:space="preserve">Lantas berikutnya, bagaiamana pandangan Musdah Mulia tentang eksistensi </w:t>
      </w:r>
      <w:r>
        <w:rPr>
          <w:rFonts w:hint="default" w:ascii="Garamond" w:hAnsi="Garamond" w:cs="Garamond"/>
          <w:sz w:val="24"/>
          <w:szCs w:val="24"/>
          <w:lang w:val="en-US"/>
        </w:rPr>
        <w:t>kaum homosesksual</w:t>
      </w:r>
      <w:r>
        <w:rPr>
          <w:rFonts w:hint="default" w:ascii="Garamond" w:hAnsi="Garamond" w:cs="Garamond"/>
          <w:sz w:val="24"/>
          <w:szCs w:val="24"/>
        </w:rPr>
        <w:t xml:space="preserve">? Menurut </w:t>
      </w:r>
      <w:r>
        <w:rPr>
          <w:rFonts w:hint="default" w:ascii="Garamond" w:hAnsi="Garamond" w:cs="Garamond"/>
          <w:sz w:val="24"/>
          <w:szCs w:val="24"/>
          <w:lang w:val="id-ID"/>
        </w:rPr>
        <w:t>Musdah</w:t>
      </w:r>
      <w:r>
        <w:rPr>
          <w:rFonts w:hint="default" w:ascii="Garamond" w:hAnsi="Garamond" w:cs="Garamond"/>
          <w:sz w:val="24"/>
          <w:szCs w:val="24"/>
        </w:rPr>
        <w:t>,</w:t>
      </w:r>
      <w:r>
        <w:rPr>
          <w:rFonts w:hint="default" w:ascii="Garamond" w:hAnsi="Garamond" w:cs="Garamond"/>
          <w:sz w:val="24"/>
          <w:szCs w:val="24"/>
          <w:lang w:val="id-ID"/>
        </w:rPr>
        <w:t xml:space="preserve"> homoseksual</w:t>
      </w:r>
      <w:r>
        <w:rPr>
          <w:rFonts w:hint="default" w:ascii="Garamond" w:hAnsi="Garamond" w:cs="Garamond"/>
          <w:sz w:val="24"/>
          <w:szCs w:val="24"/>
        </w:rPr>
        <w:t xml:space="preserve"> bukanlah kategori  kategori</w:t>
      </w:r>
      <w:r>
        <w:rPr>
          <w:rFonts w:hint="default" w:ascii="Garamond" w:hAnsi="Garamond" w:cs="Garamond"/>
          <w:sz w:val="24"/>
          <w:szCs w:val="24"/>
          <w:lang w:val="id-ID"/>
        </w:rPr>
        <w:t xml:space="preserve"> </w:t>
      </w:r>
      <w:r>
        <w:rPr>
          <w:rFonts w:hint="default" w:ascii="Garamond" w:hAnsi="Garamond" w:cs="Garamond"/>
          <w:i/>
          <w:sz w:val="24"/>
          <w:szCs w:val="24"/>
          <w:lang w:val="id-ID"/>
        </w:rPr>
        <w:t>liwat</w:t>
      </w:r>
      <w:r>
        <w:rPr>
          <w:rFonts w:hint="default" w:ascii="Garamond" w:hAnsi="Garamond" w:cs="Garamond"/>
          <w:i/>
          <w:sz w:val="24"/>
          <w:szCs w:val="24"/>
        </w:rPr>
        <w:t xml:space="preserve"> </w:t>
      </w:r>
      <w:r>
        <w:rPr>
          <w:rFonts w:hint="default" w:ascii="Garamond" w:hAnsi="Garamond" w:cs="Garamond"/>
          <w:sz w:val="24"/>
          <w:szCs w:val="24"/>
        </w:rPr>
        <w:t xml:space="preserve">(sodomi), karena tidak </w:t>
      </w:r>
      <w:r>
        <w:rPr>
          <w:rFonts w:hint="default" w:ascii="Garamond" w:hAnsi="Garamond" w:cs="Garamond"/>
          <w:sz w:val="24"/>
          <w:szCs w:val="24"/>
          <w:lang w:val="id-ID"/>
        </w:rPr>
        <w:t>semua</w:t>
      </w:r>
      <w:r>
        <w:rPr>
          <w:rFonts w:hint="default" w:ascii="Garamond" w:hAnsi="Garamond" w:cs="Garamond"/>
          <w:sz w:val="24"/>
          <w:szCs w:val="24"/>
        </w:rPr>
        <w:t xml:space="preserve"> prilaku</w:t>
      </w:r>
      <w:r>
        <w:rPr>
          <w:rFonts w:hint="default" w:ascii="Garamond" w:hAnsi="Garamond" w:cs="Garamond"/>
          <w:sz w:val="24"/>
          <w:szCs w:val="24"/>
          <w:lang w:val="id-ID"/>
        </w:rPr>
        <w:t xml:space="preserve"> homoseksual melakukan </w:t>
      </w:r>
      <w:r>
        <w:rPr>
          <w:rFonts w:hint="default" w:ascii="Garamond" w:hAnsi="Garamond" w:cs="Garamond"/>
          <w:i/>
          <w:sz w:val="24"/>
          <w:szCs w:val="24"/>
          <w:lang w:val="id-ID"/>
        </w:rPr>
        <w:t>liwat</w:t>
      </w:r>
      <w:r>
        <w:rPr>
          <w:rFonts w:hint="default" w:ascii="Garamond" w:hAnsi="Garamond" w:cs="Garamond"/>
          <w:sz w:val="24"/>
          <w:szCs w:val="24"/>
        </w:rPr>
        <w:t>. Namun homoseksual merupakan bentuk</w:t>
      </w:r>
      <w:r>
        <w:rPr>
          <w:rFonts w:hint="default" w:ascii="Garamond" w:hAnsi="Garamond" w:eastAsia="SimSun" w:cs="Garamond"/>
          <w:color w:val="000000"/>
          <w:sz w:val="24"/>
          <w:szCs w:val="24"/>
          <w:lang w:eastAsia="zh-CN" w:bidi="ar"/>
        </w:rPr>
        <w:t xml:space="preserve"> orientasi seksual yang sifatnya kodrati. </w:t>
      </w:r>
      <w:r>
        <w:rPr>
          <w:rFonts w:hint="default" w:ascii="Garamond" w:hAnsi="Garamond" w:cs="Garamond"/>
          <w:sz w:val="24"/>
          <w:szCs w:val="24"/>
        </w:rPr>
        <w:t>Musdah menambahkan bahwa u</w:t>
      </w:r>
      <w:r>
        <w:rPr>
          <w:rFonts w:hint="default" w:ascii="Garamond" w:hAnsi="Garamond" w:cs="Garamond"/>
          <w:sz w:val="24"/>
          <w:szCs w:val="24"/>
          <w:lang w:val="id-ID"/>
        </w:rPr>
        <w:t>lama klasik hanya membahas hukuman bagi prilaku seksual bukan orientasi seksual.</w:t>
      </w:r>
      <w:r>
        <w:rPr>
          <w:rFonts w:hint="default" w:ascii="Garamond" w:hAnsi="Garamond" w:cs="Garamond"/>
          <w:sz w:val="24"/>
          <w:szCs w:val="24"/>
        </w:rPr>
        <w:t xml:space="preserve"> Menurut Musdah, </w:t>
      </w:r>
      <w:r>
        <w:rPr>
          <w:rFonts w:hint="default" w:ascii="Garamond" w:hAnsi="Garamond" w:cs="Garamond"/>
          <w:sz w:val="24"/>
          <w:szCs w:val="24"/>
          <w:lang w:val="id-ID"/>
        </w:rPr>
        <w:t xml:space="preserve">kedua hal tersebut merupakan dua hal yang berbeda, </w:t>
      </w:r>
      <w:r>
        <w:rPr>
          <w:rFonts w:hint="default" w:ascii="Garamond" w:hAnsi="Garamond" w:cs="Garamond"/>
          <w:sz w:val="24"/>
          <w:szCs w:val="24"/>
        </w:rPr>
        <w:t xml:space="preserve">meskipun ia menyadari bahwa </w:t>
      </w:r>
      <w:r>
        <w:rPr>
          <w:rFonts w:hint="default" w:ascii="Garamond" w:hAnsi="Garamond" w:cs="Garamond"/>
          <w:sz w:val="24"/>
          <w:szCs w:val="24"/>
          <w:lang w:val="id-ID"/>
        </w:rPr>
        <w:t xml:space="preserve">sebagian besar </w:t>
      </w:r>
      <w:r>
        <w:rPr>
          <w:rFonts w:hint="default" w:ascii="Garamond" w:hAnsi="Garamond" w:cs="Garamond"/>
          <w:sz w:val="24"/>
          <w:szCs w:val="24"/>
        </w:rPr>
        <w:t xml:space="preserve">masyarakat </w:t>
      </w:r>
      <w:r>
        <w:rPr>
          <w:rFonts w:hint="default" w:ascii="Garamond" w:hAnsi="Garamond" w:cs="Garamond"/>
          <w:sz w:val="24"/>
          <w:szCs w:val="24"/>
          <w:lang w:val="id-ID"/>
        </w:rPr>
        <w:t xml:space="preserve">menyamakannya, sehingga </w:t>
      </w:r>
      <w:r>
        <w:rPr>
          <w:rFonts w:hint="default" w:ascii="Garamond" w:hAnsi="Garamond" w:cs="Garamond"/>
          <w:sz w:val="24"/>
          <w:szCs w:val="24"/>
        </w:rPr>
        <w:t xml:space="preserve">dalam pandangan masyarakat umum konsekuensi hukumbagi keduanya sama. Musdah menegaskan bahwa </w:t>
      </w:r>
      <w:r>
        <w:rPr>
          <w:rFonts w:hint="default" w:ascii="Garamond" w:hAnsi="Garamond" w:cs="Garamond"/>
          <w:sz w:val="24"/>
          <w:szCs w:val="24"/>
          <w:lang w:val="id-ID"/>
        </w:rPr>
        <w:t xml:space="preserve">kejahatan sodomi yang </w:t>
      </w:r>
      <w:r>
        <w:rPr>
          <w:rFonts w:hint="default" w:ascii="Garamond" w:hAnsi="Garamond" w:cs="Garamond"/>
          <w:sz w:val="24"/>
          <w:szCs w:val="24"/>
        </w:rPr>
        <w:t xml:space="preserve">dilakukan oleh kaum Luth </w:t>
      </w:r>
      <w:r>
        <w:rPr>
          <w:rFonts w:hint="default" w:ascii="Garamond" w:hAnsi="Garamond" w:cs="Garamond"/>
          <w:sz w:val="24"/>
          <w:szCs w:val="24"/>
          <w:lang w:val="id-ID"/>
        </w:rPr>
        <w:t xml:space="preserve">bersifat umum, </w:t>
      </w:r>
      <w:r>
        <w:rPr>
          <w:rFonts w:hint="default" w:ascii="Garamond" w:hAnsi="Garamond" w:cs="Garamond"/>
          <w:sz w:val="24"/>
          <w:szCs w:val="24"/>
        </w:rPr>
        <w:t xml:space="preserve">baik dilakukan oleh </w:t>
      </w:r>
      <w:r>
        <w:rPr>
          <w:rFonts w:hint="default" w:ascii="Garamond" w:hAnsi="Garamond" w:cs="Garamond"/>
          <w:sz w:val="24"/>
          <w:szCs w:val="24"/>
          <w:lang w:val="id-ID"/>
        </w:rPr>
        <w:t>kelompok homo, tetapi juga dapat dilakukan oleh kelompok hetero</w:t>
      </w:r>
      <w:r>
        <w:rPr>
          <w:rFonts w:hint="default" w:ascii="Garamond" w:hAnsi="Garamond" w:cs="Garamond"/>
          <w:sz w:val="24"/>
          <w:szCs w:val="24"/>
        </w:rPr>
        <w:t xml:space="preserve"> pada masa saat itu</w:t>
      </w:r>
      <w:r>
        <w:rPr>
          <w:rFonts w:hint="default" w:ascii="Garamond" w:hAnsi="Garamond" w:cs="Garamond"/>
          <w:sz w:val="24"/>
          <w:szCs w:val="24"/>
          <w:lang w:val="id-ID"/>
        </w:rPr>
        <w:t>.</w:t>
      </w:r>
      <w:r>
        <w:rPr>
          <w:rFonts w:hint="default" w:ascii="Garamond" w:hAnsi="Garamond" w:cs="Garamond"/>
          <w:sz w:val="24"/>
          <w:szCs w:val="24"/>
          <w:vertAlign w:val="superscript"/>
        </w:rPr>
        <w:footnoteReference w:id="27"/>
      </w:r>
      <w:r>
        <w:rPr>
          <w:rFonts w:hint="default" w:ascii="Garamond" w:hAnsi="Garamond" w:cs="Garamond"/>
          <w:sz w:val="24"/>
          <w:szCs w:val="24"/>
          <w:lang w:val="id-ID"/>
        </w:rPr>
        <w:t xml:space="preserve"> Oleh sebab itu, tidak boleh melakukan bentuk diskrimasi, kekerasan maupun intimidasi terhadap kelompok homoseksual atas dasa sikap kemanusiaan.</w:t>
      </w:r>
      <w:r>
        <w:rPr>
          <w:rFonts w:hint="default" w:ascii="Garamond" w:hAnsi="Garamond" w:eastAsia="SimSun" w:cs="Garamond"/>
          <w:sz w:val="24"/>
          <w:szCs w:val="24"/>
          <w:vertAlign w:val="superscript"/>
        </w:rPr>
        <w:footnoteReference w:id="28"/>
      </w:r>
      <w:r>
        <w:rPr>
          <w:rFonts w:hint="default" w:ascii="Garamond" w:hAnsi="Garamond" w:cs="Garamond"/>
          <w:sz w:val="24"/>
          <w:szCs w:val="24"/>
          <w:lang w:val="id-ID"/>
        </w:rPr>
        <w:t xml:space="preserve"> </w:t>
      </w:r>
    </w:p>
    <w:p>
      <w:pPr>
        <w:spacing w:beforeLines="0" w:afterLines="0" w:line="360" w:lineRule="auto"/>
        <w:ind w:firstLine="720" w:firstLineChars="0"/>
        <w:jc w:val="both"/>
        <w:rPr>
          <w:rFonts w:hint="default" w:ascii="Garamond" w:hAnsi="Garamond" w:cs="Garamond"/>
          <w:sz w:val="24"/>
          <w:szCs w:val="24"/>
        </w:rPr>
      </w:pPr>
      <w:r>
        <w:rPr>
          <w:rFonts w:hint="default" w:ascii="Garamond" w:hAnsi="Garamond" w:cs="Garamond"/>
          <w:sz w:val="24"/>
          <w:szCs w:val="24"/>
        </w:rPr>
        <w:t xml:space="preserve">Secara teoritis, pandangan Musdah dalam menjelaskan distingsi </w:t>
      </w:r>
      <w:r>
        <w:rPr>
          <w:rFonts w:hint="default" w:ascii="Garamond" w:hAnsi="Garamond" w:cs="Garamond"/>
          <w:sz w:val="24"/>
          <w:szCs w:val="24"/>
          <w:lang w:val="en"/>
        </w:rPr>
        <w:t xml:space="preserve">homoseksual dengan </w:t>
      </w:r>
      <w:r>
        <w:rPr>
          <w:rFonts w:hint="default" w:ascii="Garamond" w:hAnsi="Garamond" w:cs="Garamond"/>
          <w:sz w:val="24"/>
          <w:szCs w:val="24"/>
        </w:rPr>
        <w:t xml:space="preserve">prilaku </w:t>
      </w:r>
      <w:r>
        <w:rPr>
          <w:rFonts w:hint="default" w:ascii="Garamond" w:hAnsi="Garamond" w:cs="Garamond"/>
          <w:i/>
          <w:sz w:val="24"/>
          <w:szCs w:val="24"/>
          <w:lang w:val="en"/>
        </w:rPr>
        <w:t>liwath</w:t>
      </w:r>
      <w:r>
        <w:rPr>
          <w:rFonts w:hint="default" w:ascii="Garamond" w:hAnsi="Garamond" w:cs="Garamond"/>
          <w:sz w:val="24"/>
          <w:szCs w:val="24"/>
        </w:rPr>
        <w:t xml:space="preserve"> (sodom)</w:t>
      </w:r>
      <w:r>
        <w:rPr>
          <w:rFonts w:hint="default" w:ascii="Garamond" w:hAnsi="Garamond" w:cs="Garamond"/>
          <w:sz w:val="24"/>
          <w:szCs w:val="24"/>
          <w:lang w:val="en"/>
        </w:rPr>
        <w:t xml:space="preserve"> kaum Nabi Luth</w:t>
      </w:r>
      <w:r>
        <w:rPr>
          <w:rFonts w:hint="default" w:ascii="Garamond" w:hAnsi="Garamond" w:cs="Garamond"/>
          <w:sz w:val="24"/>
          <w:szCs w:val="24"/>
        </w:rPr>
        <w:t xml:space="preserve"> dapat dipetakan menjadi empat argumen. </w:t>
      </w:r>
    </w:p>
    <w:p>
      <w:pPr>
        <w:spacing w:beforeLines="0" w:afterLines="0" w:line="360" w:lineRule="auto"/>
        <w:ind w:firstLine="720" w:firstLineChars="0"/>
        <w:jc w:val="both"/>
        <w:rPr>
          <w:rFonts w:hint="default" w:ascii="Garamond" w:hAnsi="Garamond" w:cs="Garamond"/>
          <w:sz w:val="24"/>
          <w:szCs w:val="24"/>
        </w:rPr>
      </w:pPr>
      <w:r>
        <w:rPr>
          <w:rFonts w:hint="default" w:ascii="Garamond" w:hAnsi="Garamond" w:cs="Garamond"/>
          <w:sz w:val="24"/>
          <w:szCs w:val="24"/>
        </w:rPr>
        <w:t>Pertama, h</w:t>
      </w:r>
      <w:r>
        <w:rPr>
          <w:rFonts w:hint="default" w:ascii="Garamond" w:hAnsi="Garamond" w:cs="Garamond"/>
          <w:sz w:val="24"/>
          <w:szCs w:val="24"/>
          <w:lang w:val="en"/>
        </w:rPr>
        <w:t xml:space="preserve">omoseksual </w:t>
      </w:r>
      <w:r>
        <w:rPr>
          <w:rFonts w:hint="default" w:ascii="Garamond" w:hAnsi="Garamond" w:cs="Garamond"/>
          <w:sz w:val="24"/>
          <w:szCs w:val="24"/>
        </w:rPr>
        <w:t>b</w:t>
      </w:r>
      <w:r>
        <w:rPr>
          <w:rFonts w:hint="default" w:ascii="Garamond" w:hAnsi="Garamond" w:cs="Garamond"/>
          <w:sz w:val="24"/>
          <w:szCs w:val="24"/>
          <w:lang w:val="en"/>
        </w:rPr>
        <w:t xml:space="preserve">erbeda dengan </w:t>
      </w:r>
      <w:r>
        <w:rPr>
          <w:rFonts w:hint="default" w:ascii="Garamond" w:hAnsi="Garamond" w:cs="Garamond"/>
          <w:sz w:val="24"/>
          <w:szCs w:val="24"/>
        </w:rPr>
        <w:t>perilaku sodomi oleh</w:t>
      </w:r>
      <w:r>
        <w:rPr>
          <w:rFonts w:hint="default" w:ascii="Garamond" w:hAnsi="Garamond" w:cs="Garamond"/>
          <w:sz w:val="24"/>
          <w:szCs w:val="24"/>
          <w:lang w:val="en"/>
        </w:rPr>
        <w:t xml:space="preserve"> Kaum Nabi Luth</w:t>
      </w:r>
      <w:r>
        <w:rPr>
          <w:rFonts w:hint="default" w:ascii="Garamond" w:hAnsi="Garamond" w:cs="Garamond"/>
          <w:sz w:val="24"/>
          <w:szCs w:val="24"/>
        </w:rPr>
        <w:t xml:space="preserve">. </w:t>
      </w:r>
      <w:r>
        <w:rPr>
          <w:rFonts w:hint="default" w:ascii="Garamond" w:hAnsi="Garamond" w:cs="Garamond"/>
          <w:sz w:val="24"/>
          <w:szCs w:val="24"/>
          <w:lang w:val="en"/>
        </w:rPr>
        <w:t xml:space="preserve"> </w:t>
      </w:r>
      <w:r>
        <w:rPr>
          <w:rFonts w:hint="default" w:ascii="Garamond" w:hAnsi="Garamond" w:cs="Garamond"/>
          <w:sz w:val="24"/>
          <w:szCs w:val="24"/>
        </w:rPr>
        <w:t>Musdah menuturkan bahwa s</w:t>
      </w:r>
      <w:r>
        <w:rPr>
          <w:rFonts w:hint="default" w:ascii="Garamond" w:hAnsi="Garamond" w:cs="Garamond"/>
          <w:sz w:val="24"/>
          <w:szCs w:val="24"/>
          <w:lang w:val="en"/>
        </w:rPr>
        <w:t>alah satu bentuk pelanggaran yang spesifik dilakukan kaum Luth</w:t>
      </w:r>
      <w:r>
        <w:rPr>
          <w:rFonts w:hint="default" w:ascii="Garamond" w:hAnsi="Garamond" w:cs="Garamond"/>
          <w:sz w:val="24"/>
          <w:szCs w:val="24"/>
        </w:rPr>
        <w:t xml:space="preserve">, yakni </w:t>
      </w:r>
      <w:r>
        <w:rPr>
          <w:rFonts w:hint="default" w:ascii="Garamond" w:hAnsi="Garamond" w:cs="Garamond"/>
          <w:sz w:val="24"/>
          <w:szCs w:val="24"/>
          <w:lang w:val="en"/>
        </w:rPr>
        <w:t>mengekspresikan perilaku seksual terlarang</w:t>
      </w:r>
      <w:r>
        <w:rPr>
          <w:rFonts w:hint="default" w:ascii="Garamond" w:hAnsi="Garamond" w:cs="Garamond"/>
          <w:sz w:val="24"/>
          <w:szCs w:val="24"/>
        </w:rPr>
        <w:t>,</w:t>
      </w:r>
      <w:r>
        <w:rPr>
          <w:rFonts w:hint="default" w:ascii="Garamond" w:hAnsi="Garamond" w:cs="Garamond"/>
          <w:sz w:val="24"/>
          <w:szCs w:val="24"/>
          <w:lang w:val="en"/>
        </w:rPr>
        <w:t xml:space="preserve"> mengandung unsur kekerasan, pemaksaan dan penganiayaan</w:t>
      </w:r>
      <w:r>
        <w:rPr>
          <w:rFonts w:hint="default" w:ascii="Garamond" w:hAnsi="Garamond" w:cs="Garamond"/>
          <w:sz w:val="24"/>
          <w:szCs w:val="24"/>
        </w:rPr>
        <w:t xml:space="preserve"> seperti halnya</w:t>
      </w:r>
      <w:r>
        <w:rPr>
          <w:rFonts w:hint="default" w:ascii="Garamond" w:hAnsi="Garamond" w:cs="Garamond"/>
          <w:sz w:val="24"/>
          <w:szCs w:val="24"/>
          <w:lang w:val="en"/>
        </w:rPr>
        <w:t xml:space="preserve"> bentuk sodomi</w:t>
      </w:r>
      <w:r>
        <w:rPr>
          <w:rFonts w:hint="default" w:ascii="Garamond" w:hAnsi="Garamond" w:cs="Garamond"/>
          <w:sz w:val="24"/>
          <w:szCs w:val="24"/>
        </w:rPr>
        <w:t>.</w:t>
      </w:r>
      <w:r>
        <w:rPr>
          <w:rFonts w:hint="default" w:ascii="Garamond" w:hAnsi="Garamond" w:cs="Garamond"/>
          <w:sz w:val="24"/>
          <w:szCs w:val="24"/>
          <w:lang w:val="en"/>
        </w:rPr>
        <w:t xml:space="preserve">  Akan tetapi, </w:t>
      </w:r>
      <w:r>
        <w:rPr>
          <w:rFonts w:hint="default" w:ascii="Garamond" w:hAnsi="Garamond" w:cs="Garamond"/>
          <w:sz w:val="24"/>
          <w:szCs w:val="24"/>
        </w:rPr>
        <w:t>a</w:t>
      </w:r>
      <w:r>
        <w:rPr>
          <w:rFonts w:hint="default" w:ascii="Garamond" w:hAnsi="Garamond" w:cs="Garamond"/>
          <w:sz w:val="24"/>
          <w:szCs w:val="24"/>
          <w:lang w:val="en"/>
        </w:rPr>
        <w:t>l-Qur’an</w:t>
      </w:r>
      <w:r>
        <w:rPr>
          <w:rFonts w:hint="default" w:ascii="Garamond" w:hAnsi="Garamond" w:cs="Garamond"/>
          <w:sz w:val="24"/>
          <w:szCs w:val="24"/>
        </w:rPr>
        <w:t xml:space="preserve"> </w:t>
      </w:r>
      <w:r>
        <w:rPr>
          <w:rFonts w:hint="default" w:ascii="Garamond" w:hAnsi="Garamond" w:cs="Garamond"/>
          <w:sz w:val="24"/>
          <w:szCs w:val="24"/>
          <w:lang w:val="en"/>
        </w:rPr>
        <w:t xml:space="preserve">dan hadis tidak menggunakan kosa kata yang secara langsung dapat diartikan dengan liwath </w:t>
      </w:r>
      <w:r>
        <w:rPr>
          <w:rFonts w:hint="default" w:ascii="Garamond" w:hAnsi="Garamond" w:cs="Garamond"/>
          <w:sz w:val="24"/>
          <w:szCs w:val="24"/>
        </w:rPr>
        <w:t>(</w:t>
      </w:r>
      <w:r>
        <w:rPr>
          <w:rFonts w:hint="default" w:ascii="Garamond" w:hAnsi="Garamond" w:cs="Garamond"/>
          <w:sz w:val="24"/>
          <w:szCs w:val="24"/>
          <w:lang w:val="en"/>
        </w:rPr>
        <w:t>sodomi</w:t>
      </w:r>
      <w:r>
        <w:rPr>
          <w:rFonts w:hint="default" w:ascii="Garamond" w:hAnsi="Garamond" w:cs="Garamond"/>
          <w:sz w:val="24"/>
          <w:szCs w:val="24"/>
        </w:rPr>
        <w:t xml:space="preserve">). </w:t>
      </w:r>
    </w:p>
    <w:p>
      <w:pPr>
        <w:spacing w:beforeLines="0" w:afterLines="0" w:line="360" w:lineRule="auto"/>
        <w:ind w:firstLine="720" w:firstLineChars="0"/>
        <w:jc w:val="both"/>
        <w:rPr>
          <w:rFonts w:hint="default" w:ascii="Garamond" w:hAnsi="Garamond" w:cs="Garamond"/>
          <w:sz w:val="24"/>
          <w:szCs w:val="24"/>
        </w:rPr>
      </w:pPr>
      <w:r>
        <w:rPr>
          <w:rFonts w:hint="default" w:ascii="Garamond" w:hAnsi="Garamond" w:cs="Garamond"/>
          <w:sz w:val="24"/>
          <w:szCs w:val="24"/>
        </w:rPr>
        <w:t>Kedua, b</w:t>
      </w:r>
      <w:r>
        <w:rPr>
          <w:rFonts w:hint="default" w:ascii="Garamond" w:hAnsi="Garamond" w:cs="Garamond"/>
          <w:sz w:val="24"/>
          <w:szCs w:val="24"/>
          <w:lang w:val="en"/>
        </w:rPr>
        <w:t xml:space="preserve">iseksual </w:t>
      </w:r>
      <w:r>
        <w:rPr>
          <w:rFonts w:hint="default" w:ascii="Garamond" w:hAnsi="Garamond" w:cs="Garamond"/>
          <w:sz w:val="24"/>
          <w:szCs w:val="24"/>
        </w:rPr>
        <w:t>menjadi bentuk o</w:t>
      </w:r>
      <w:r>
        <w:rPr>
          <w:rFonts w:hint="default" w:ascii="Garamond" w:hAnsi="Garamond" w:cs="Garamond"/>
          <w:sz w:val="24"/>
          <w:szCs w:val="24"/>
          <w:lang w:val="en"/>
        </w:rPr>
        <w:t xml:space="preserve">rientasi </w:t>
      </w:r>
      <w:r>
        <w:rPr>
          <w:rFonts w:hint="default" w:ascii="Garamond" w:hAnsi="Garamond" w:cs="Garamond"/>
          <w:sz w:val="24"/>
          <w:szCs w:val="24"/>
        </w:rPr>
        <w:t>s</w:t>
      </w:r>
      <w:r>
        <w:rPr>
          <w:rFonts w:hint="default" w:ascii="Garamond" w:hAnsi="Garamond" w:cs="Garamond"/>
          <w:sz w:val="24"/>
          <w:szCs w:val="24"/>
          <w:lang w:val="en"/>
        </w:rPr>
        <w:t>eksual Kaum Luth</w:t>
      </w:r>
      <w:r>
        <w:rPr>
          <w:rFonts w:hint="default" w:ascii="Garamond" w:hAnsi="Garamond" w:cs="Garamond"/>
          <w:sz w:val="24"/>
          <w:szCs w:val="24"/>
        </w:rPr>
        <w:t xml:space="preserve">. Musdah memahami bahwa pelbagai </w:t>
      </w:r>
      <w:r>
        <w:rPr>
          <w:rFonts w:hint="default" w:ascii="Garamond" w:hAnsi="Garamond" w:cs="Garamond"/>
          <w:sz w:val="24"/>
          <w:szCs w:val="24"/>
          <w:lang w:val="en"/>
        </w:rPr>
        <w:t>ayat</w:t>
      </w:r>
      <w:r>
        <w:rPr>
          <w:rFonts w:hint="default" w:ascii="Garamond" w:hAnsi="Garamond" w:cs="Garamond"/>
          <w:sz w:val="24"/>
          <w:szCs w:val="24"/>
        </w:rPr>
        <w:t xml:space="preserve"> al-Qur’an</w:t>
      </w:r>
      <w:r>
        <w:rPr>
          <w:rFonts w:hint="default" w:ascii="Garamond" w:hAnsi="Garamond" w:cs="Garamond"/>
          <w:sz w:val="24"/>
          <w:szCs w:val="24"/>
          <w:lang w:val="en"/>
        </w:rPr>
        <w:t xml:space="preserve"> yang menyebutkan tentang perilaku kaum Nabi Luth as mengindikasikan </w:t>
      </w:r>
      <w:r>
        <w:rPr>
          <w:rFonts w:hint="default" w:ascii="Garamond" w:hAnsi="Garamond" w:cs="Garamond"/>
          <w:sz w:val="24"/>
          <w:szCs w:val="24"/>
        </w:rPr>
        <w:t>bahwa kaum Luth tersebut merupakan</w:t>
      </w:r>
      <w:r>
        <w:rPr>
          <w:rFonts w:hint="default" w:ascii="Garamond" w:hAnsi="Garamond" w:cs="Garamond"/>
          <w:sz w:val="24"/>
          <w:szCs w:val="24"/>
          <w:lang w:val="en"/>
        </w:rPr>
        <w:t xml:space="preserve"> pelaku biseksual. </w:t>
      </w:r>
      <w:r>
        <w:rPr>
          <w:rFonts w:hint="default" w:ascii="Garamond" w:hAnsi="Garamond" w:cs="Garamond"/>
          <w:sz w:val="24"/>
          <w:szCs w:val="24"/>
        </w:rPr>
        <w:t>Hal demikian dalam ayat tersebut juga menunjukan</w:t>
      </w:r>
      <w:r>
        <w:rPr>
          <w:rFonts w:hint="default" w:ascii="Garamond" w:hAnsi="Garamond" w:cs="Garamond"/>
          <w:sz w:val="24"/>
          <w:szCs w:val="24"/>
          <w:lang w:val="en"/>
        </w:rPr>
        <w:t xml:space="preserve"> </w:t>
      </w:r>
      <w:r>
        <w:rPr>
          <w:rFonts w:hint="default" w:ascii="Garamond" w:hAnsi="Garamond" w:cs="Garamond"/>
          <w:sz w:val="24"/>
          <w:szCs w:val="24"/>
        </w:rPr>
        <w:t xml:space="preserve">adanya indikasi </w:t>
      </w:r>
      <w:r>
        <w:rPr>
          <w:rFonts w:hint="default" w:ascii="Garamond" w:hAnsi="Garamond" w:cs="Garamond"/>
          <w:sz w:val="24"/>
          <w:szCs w:val="24"/>
          <w:lang w:val="en"/>
        </w:rPr>
        <w:t>kaum</w:t>
      </w:r>
      <w:r>
        <w:rPr>
          <w:rFonts w:hint="default" w:ascii="Garamond" w:hAnsi="Garamond" w:cs="Garamond"/>
          <w:sz w:val="24"/>
          <w:szCs w:val="24"/>
        </w:rPr>
        <w:t xml:space="preserve"> Luth pada </w:t>
      </w:r>
      <w:r>
        <w:rPr>
          <w:rFonts w:hint="default" w:ascii="Garamond" w:hAnsi="Garamond" w:cs="Garamond"/>
          <w:sz w:val="24"/>
          <w:szCs w:val="24"/>
          <w:lang w:val="en"/>
        </w:rPr>
        <w:t>berpaling dari istri-istri mereka dan mendatangi sesama jenis dengan cara yang keji</w:t>
      </w:r>
      <w:r>
        <w:rPr>
          <w:rFonts w:hint="default" w:ascii="Garamond" w:hAnsi="Garamond" w:cs="Garamond"/>
          <w:sz w:val="24"/>
          <w:szCs w:val="24"/>
        </w:rPr>
        <w:t xml:space="preserve">. </w:t>
      </w:r>
    </w:p>
    <w:p>
      <w:pPr>
        <w:spacing w:beforeLines="0" w:afterLines="0" w:line="360" w:lineRule="auto"/>
        <w:ind w:firstLine="720" w:firstLineChars="0"/>
        <w:jc w:val="both"/>
        <w:rPr>
          <w:rFonts w:hint="default" w:ascii="Garamond" w:hAnsi="Garamond" w:cs="Garamond"/>
          <w:sz w:val="24"/>
          <w:szCs w:val="24"/>
        </w:rPr>
      </w:pPr>
      <w:r>
        <w:rPr>
          <w:rFonts w:hint="default" w:ascii="Garamond" w:hAnsi="Garamond" w:cs="Garamond"/>
          <w:sz w:val="24"/>
          <w:szCs w:val="24"/>
        </w:rPr>
        <w:t>Ketiga, penyimpangan seksual berupa tindakan sodomi oleh</w:t>
      </w:r>
      <w:r>
        <w:rPr>
          <w:rFonts w:hint="default" w:ascii="Garamond" w:hAnsi="Garamond" w:cs="Garamond"/>
          <w:sz w:val="24"/>
          <w:szCs w:val="24"/>
          <w:lang w:val="en"/>
        </w:rPr>
        <w:t xml:space="preserve"> Kaum Luth Bersifat Global</w:t>
      </w:r>
      <w:r>
        <w:rPr>
          <w:rFonts w:hint="default" w:ascii="Garamond" w:hAnsi="Garamond" w:cs="Garamond"/>
          <w:sz w:val="24"/>
          <w:szCs w:val="24"/>
        </w:rPr>
        <w:t xml:space="preserve">. Menurut Musdah, </w:t>
      </w:r>
      <w:r>
        <w:rPr>
          <w:rFonts w:hint="default" w:ascii="Garamond" w:hAnsi="Garamond" w:cs="Garamond"/>
          <w:sz w:val="24"/>
          <w:szCs w:val="24"/>
          <w:lang w:val="en"/>
        </w:rPr>
        <w:t>dalam</w:t>
      </w:r>
      <w:r>
        <w:rPr>
          <w:rFonts w:hint="default" w:ascii="Garamond" w:hAnsi="Garamond" w:cs="Garamond"/>
          <w:sz w:val="24"/>
          <w:szCs w:val="24"/>
        </w:rPr>
        <w:t xml:space="preserve"> beberpa ayat</w:t>
      </w:r>
      <w:r>
        <w:rPr>
          <w:rFonts w:hint="default" w:ascii="Garamond" w:hAnsi="Garamond" w:cs="Garamond"/>
          <w:sz w:val="24"/>
          <w:szCs w:val="24"/>
          <w:lang w:val="en"/>
        </w:rPr>
        <w:t xml:space="preserve"> </w:t>
      </w:r>
      <w:r>
        <w:rPr>
          <w:rFonts w:hint="default" w:ascii="Garamond" w:hAnsi="Garamond" w:cs="Garamond"/>
          <w:sz w:val="24"/>
          <w:szCs w:val="24"/>
        </w:rPr>
        <w:t>a</w:t>
      </w:r>
      <w:r>
        <w:rPr>
          <w:rFonts w:hint="default" w:ascii="Garamond" w:hAnsi="Garamond" w:cs="Garamond"/>
          <w:sz w:val="24"/>
          <w:szCs w:val="24"/>
          <w:lang w:val="en"/>
        </w:rPr>
        <w:t xml:space="preserve">l-Qur’an </w:t>
      </w:r>
      <w:r>
        <w:rPr>
          <w:rFonts w:hint="default" w:ascii="Garamond" w:hAnsi="Garamond" w:cs="Garamond"/>
          <w:sz w:val="24"/>
          <w:szCs w:val="24"/>
        </w:rPr>
        <w:t xml:space="preserve">yang menjelaskan konteks kaum Luth </w:t>
      </w:r>
      <w:r>
        <w:rPr>
          <w:rFonts w:hint="default" w:ascii="Garamond" w:hAnsi="Garamond" w:cs="Garamond"/>
          <w:sz w:val="24"/>
          <w:szCs w:val="24"/>
          <w:lang w:val="en"/>
        </w:rPr>
        <w:t>menyebutkan beberapa istilah perbuata</w:t>
      </w:r>
      <w:r>
        <w:rPr>
          <w:rFonts w:hint="default" w:ascii="Garamond" w:hAnsi="Garamond" w:cs="Garamond"/>
          <w:sz w:val="24"/>
          <w:szCs w:val="24"/>
        </w:rPr>
        <w:t>n</w:t>
      </w:r>
      <w:r>
        <w:rPr>
          <w:rFonts w:hint="default" w:ascii="Garamond" w:hAnsi="Garamond" w:cs="Garamond"/>
          <w:sz w:val="24"/>
          <w:szCs w:val="24"/>
          <w:lang w:val="en"/>
        </w:rPr>
        <w:t xml:space="preserve">, </w:t>
      </w:r>
      <w:r>
        <w:rPr>
          <w:rFonts w:hint="default" w:ascii="Garamond" w:hAnsi="Garamond" w:cs="Garamond"/>
          <w:sz w:val="24"/>
          <w:szCs w:val="24"/>
        </w:rPr>
        <w:t xml:space="preserve">antara lain kata </w:t>
      </w:r>
      <w:r>
        <w:rPr>
          <w:rFonts w:hint="default" w:ascii="Garamond" w:hAnsi="Garamond" w:cs="Garamond"/>
          <w:i/>
          <w:sz w:val="24"/>
          <w:szCs w:val="24"/>
          <w:lang w:val="en"/>
        </w:rPr>
        <w:t>al-fahisyah</w:t>
      </w:r>
      <w:r>
        <w:rPr>
          <w:rFonts w:hint="default" w:ascii="Garamond" w:hAnsi="Garamond" w:cs="Garamond"/>
          <w:i/>
          <w:sz w:val="24"/>
          <w:szCs w:val="24"/>
        </w:rPr>
        <w:t xml:space="preserve"> </w:t>
      </w:r>
      <w:r>
        <w:rPr>
          <w:rFonts w:hint="default" w:ascii="Garamond" w:hAnsi="Garamond" w:cs="Garamond"/>
          <w:sz w:val="24"/>
          <w:szCs w:val="24"/>
        </w:rPr>
        <w:t xml:space="preserve">dalam </w:t>
      </w:r>
      <w:r>
        <w:rPr>
          <w:rFonts w:hint="default" w:ascii="Garamond" w:hAnsi="Garamond" w:cs="Garamond"/>
          <w:sz w:val="24"/>
          <w:szCs w:val="24"/>
          <w:lang w:val="en"/>
        </w:rPr>
        <w:t xml:space="preserve"> QS. </w:t>
      </w:r>
      <w:r>
        <w:rPr>
          <w:rFonts w:hint="default" w:ascii="Garamond" w:hAnsi="Garamond" w:cs="Garamond"/>
          <w:sz w:val="24"/>
          <w:szCs w:val="24"/>
        </w:rPr>
        <w:t>a</w:t>
      </w:r>
      <w:r>
        <w:rPr>
          <w:rFonts w:hint="default" w:ascii="Garamond" w:hAnsi="Garamond" w:cs="Garamond"/>
          <w:sz w:val="24"/>
          <w:szCs w:val="24"/>
          <w:lang w:val="en"/>
        </w:rPr>
        <w:t>l-A’raf</w:t>
      </w:r>
      <w:r>
        <w:rPr>
          <w:rFonts w:hint="default" w:ascii="Garamond" w:hAnsi="Garamond" w:cs="Garamond"/>
          <w:sz w:val="24"/>
          <w:szCs w:val="24"/>
        </w:rPr>
        <w:t xml:space="preserve"> ayat </w:t>
      </w:r>
      <w:r>
        <w:rPr>
          <w:rFonts w:hint="default" w:ascii="Garamond" w:hAnsi="Garamond" w:cs="Garamond"/>
          <w:sz w:val="24"/>
          <w:szCs w:val="24"/>
          <w:lang w:val="en"/>
        </w:rPr>
        <w:t xml:space="preserve"> 80</w:t>
      </w:r>
      <w:r>
        <w:rPr>
          <w:rFonts w:hint="default" w:ascii="Garamond" w:hAnsi="Garamond" w:cs="Garamond"/>
          <w:sz w:val="24"/>
          <w:szCs w:val="24"/>
        </w:rPr>
        <w:t xml:space="preserve">, </w:t>
      </w:r>
      <w:r>
        <w:rPr>
          <w:rFonts w:hint="default" w:ascii="Garamond" w:hAnsi="Garamond" w:cs="Garamond"/>
          <w:sz w:val="24"/>
          <w:szCs w:val="24"/>
          <w:lang w:val="en"/>
        </w:rPr>
        <w:t xml:space="preserve">QS. </w:t>
      </w:r>
      <w:r>
        <w:rPr>
          <w:rFonts w:hint="default" w:ascii="Garamond" w:hAnsi="Garamond" w:cs="Garamond"/>
          <w:sz w:val="24"/>
          <w:szCs w:val="24"/>
        </w:rPr>
        <w:t>al</w:t>
      </w:r>
      <w:r>
        <w:rPr>
          <w:rFonts w:hint="default" w:ascii="Garamond" w:hAnsi="Garamond" w:cs="Garamond"/>
          <w:sz w:val="24"/>
          <w:szCs w:val="24"/>
          <w:lang w:val="en"/>
        </w:rPr>
        <w:t xml:space="preserve">-Naml </w:t>
      </w:r>
      <w:r>
        <w:rPr>
          <w:rFonts w:hint="default" w:ascii="Garamond" w:hAnsi="Garamond" w:cs="Garamond"/>
          <w:sz w:val="24"/>
          <w:szCs w:val="24"/>
        </w:rPr>
        <w:t xml:space="preserve">ayat </w:t>
      </w:r>
      <w:r>
        <w:rPr>
          <w:rFonts w:hint="default" w:ascii="Garamond" w:hAnsi="Garamond" w:cs="Garamond"/>
          <w:sz w:val="24"/>
          <w:szCs w:val="24"/>
          <w:lang w:val="en"/>
        </w:rPr>
        <w:t xml:space="preserve">54, QS. </w:t>
      </w:r>
      <w:r>
        <w:rPr>
          <w:rFonts w:hint="default" w:ascii="Garamond" w:hAnsi="Garamond" w:cs="Garamond"/>
          <w:sz w:val="24"/>
          <w:szCs w:val="24"/>
        </w:rPr>
        <w:t>a</w:t>
      </w:r>
      <w:r>
        <w:rPr>
          <w:rFonts w:hint="default" w:ascii="Garamond" w:hAnsi="Garamond" w:cs="Garamond"/>
          <w:sz w:val="24"/>
          <w:szCs w:val="24"/>
          <w:lang w:val="en"/>
        </w:rPr>
        <w:t xml:space="preserve">l-Ankabut </w:t>
      </w:r>
      <w:r>
        <w:rPr>
          <w:rFonts w:hint="default" w:ascii="Garamond" w:hAnsi="Garamond" w:cs="Garamond"/>
          <w:sz w:val="24"/>
          <w:szCs w:val="24"/>
        </w:rPr>
        <w:t xml:space="preserve">ayat </w:t>
      </w:r>
      <w:r>
        <w:rPr>
          <w:rFonts w:hint="default" w:ascii="Garamond" w:hAnsi="Garamond" w:cs="Garamond"/>
          <w:sz w:val="24"/>
          <w:szCs w:val="24"/>
          <w:lang w:val="en"/>
        </w:rPr>
        <w:t>28)</w:t>
      </w:r>
      <w:r>
        <w:rPr>
          <w:rFonts w:hint="default" w:ascii="Garamond" w:hAnsi="Garamond" w:cs="Garamond"/>
          <w:sz w:val="24"/>
          <w:szCs w:val="24"/>
        </w:rPr>
        <w:t xml:space="preserve">, kata </w:t>
      </w:r>
      <w:r>
        <w:rPr>
          <w:rFonts w:hint="default" w:ascii="Garamond" w:hAnsi="Garamond" w:cs="Garamond"/>
          <w:sz w:val="24"/>
          <w:szCs w:val="24"/>
          <w:lang w:val="en"/>
        </w:rPr>
        <w:t xml:space="preserve"> </w:t>
      </w:r>
      <w:r>
        <w:rPr>
          <w:rFonts w:hint="default" w:ascii="Garamond" w:hAnsi="Garamond" w:cs="Garamond"/>
          <w:i/>
          <w:sz w:val="24"/>
          <w:szCs w:val="24"/>
          <w:lang w:val="en"/>
        </w:rPr>
        <w:t>al-sayyiat</w:t>
      </w:r>
      <w:r>
        <w:rPr>
          <w:rFonts w:hint="default" w:ascii="Garamond" w:hAnsi="Garamond" w:cs="Garamond"/>
          <w:i/>
          <w:sz w:val="24"/>
          <w:szCs w:val="24"/>
        </w:rPr>
        <w:t xml:space="preserve"> </w:t>
      </w:r>
      <w:r>
        <w:rPr>
          <w:rFonts w:hint="default" w:ascii="Garamond" w:hAnsi="Garamond" w:cs="Garamond"/>
          <w:sz w:val="24"/>
          <w:szCs w:val="24"/>
        </w:rPr>
        <w:t xml:space="preserve">dalam </w:t>
      </w:r>
      <w:r>
        <w:rPr>
          <w:rFonts w:hint="default" w:ascii="Garamond" w:hAnsi="Garamond" w:cs="Garamond"/>
          <w:sz w:val="24"/>
          <w:szCs w:val="24"/>
          <w:lang w:val="en"/>
        </w:rPr>
        <w:t xml:space="preserve">QS. Hud </w:t>
      </w:r>
      <w:r>
        <w:rPr>
          <w:rFonts w:hint="default" w:ascii="Garamond" w:hAnsi="Garamond" w:cs="Garamond"/>
          <w:sz w:val="24"/>
          <w:szCs w:val="24"/>
        </w:rPr>
        <w:t xml:space="preserve">ayat </w:t>
      </w:r>
      <w:r>
        <w:rPr>
          <w:rFonts w:hint="default" w:ascii="Garamond" w:hAnsi="Garamond" w:cs="Garamond"/>
          <w:sz w:val="24"/>
          <w:szCs w:val="24"/>
          <w:lang w:val="en"/>
        </w:rPr>
        <w:t>78,</w:t>
      </w:r>
      <w:r>
        <w:rPr>
          <w:rFonts w:hint="default" w:ascii="Garamond" w:hAnsi="Garamond" w:cs="Garamond"/>
          <w:sz w:val="24"/>
          <w:szCs w:val="24"/>
        </w:rPr>
        <w:t xml:space="preserve"> kata</w:t>
      </w:r>
      <w:r>
        <w:rPr>
          <w:rFonts w:hint="default" w:ascii="Garamond" w:hAnsi="Garamond" w:cs="Garamond"/>
          <w:sz w:val="24"/>
          <w:szCs w:val="24"/>
          <w:lang w:val="en"/>
        </w:rPr>
        <w:t xml:space="preserve"> </w:t>
      </w:r>
      <w:r>
        <w:rPr>
          <w:rFonts w:hint="default" w:ascii="Garamond" w:hAnsi="Garamond" w:cs="Garamond"/>
          <w:i/>
          <w:sz w:val="24"/>
          <w:szCs w:val="24"/>
          <w:lang w:val="en"/>
        </w:rPr>
        <w:t>al-khabaits</w:t>
      </w:r>
      <w:r>
        <w:rPr>
          <w:rFonts w:hint="default" w:ascii="Garamond" w:hAnsi="Garamond" w:cs="Garamond"/>
          <w:sz w:val="24"/>
          <w:szCs w:val="24"/>
        </w:rPr>
        <w:t xml:space="preserve"> dalam </w:t>
      </w:r>
      <w:r>
        <w:rPr>
          <w:rFonts w:hint="default" w:ascii="Garamond" w:hAnsi="Garamond" w:cs="Garamond"/>
          <w:sz w:val="24"/>
          <w:szCs w:val="24"/>
          <w:lang w:val="en"/>
        </w:rPr>
        <w:t xml:space="preserve">QS. </w:t>
      </w:r>
      <w:r>
        <w:rPr>
          <w:rFonts w:hint="default" w:ascii="Garamond" w:hAnsi="Garamond" w:cs="Garamond"/>
          <w:sz w:val="24"/>
          <w:szCs w:val="24"/>
        </w:rPr>
        <w:t>a</w:t>
      </w:r>
      <w:r>
        <w:rPr>
          <w:rFonts w:hint="default" w:ascii="Garamond" w:hAnsi="Garamond" w:cs="Garamond"/>
          <w:sz w:val="24"/>
          <w:szCs w:val="24"/>
          <w:lang w:val="en"/>
        </w:rPr>
        <w:t xml:space="preserve">l-Anbiya’ </w:t>
      </w:r>
      <w:r>
        <w:rPr>
          <w:rFonts w:hint="default" w:ascii="Garamond" w:hAnsi="Garamond" w:cs="Garamond"/>
          <w:sz w:val="24"/>
          <w:szCs w:val="24"/>
        </w:rPr>
        <w:t>ayat</w:t>
      </w:r>
      <w:r>
        <w:rPr>
          <w:rFonts w:hint="default" w:ascii="Garamond" w:hAnsi="Garamond" w:cs="Garamond"/>
          <w:sz w:val="24"/>
          <w:szCs w:val="24"/>
          <w:lang w:val="en"/>
        </w:rPr>
        <w:t xml:space="preserve"> 74, dan </w:t>
      </w:r>
      <w:r>
        <w:rPr>
          <w:rFonts w:hint="default" w:ascii="Garamond" w:hAnsi="Garamond" w:cs="Garamond"/>
          <w:sz w:val="24"/>
          <w:szCs w:val="24"/>
        </w:rPr>
        <w:t xml:space="preserve">kata </w:t>
      </w:r>
      <w:r>
        <w:rPr>
          <w:rFonts w:hint="default" w:ascii="Garamond" w:hAnsi="Garamond" w:cs="Garamond"/>
          <w:i/>
          <w:sz w:val="24"/>
          <w:szCs w:val="24"/>
          <w:lang w:val="en"/>
        </w:rPr>
        <w:t>al-munkar</w:t>
      </w:r>
      <w:r>
        <w:rPr>
          <w:rFonts w:hint="default" w:ascii="Garamond" w:hAnsi="Garamond" w:cs="Garamond"/>
          <w:sz w:val="24"/>
          <w:szCs w:val="24"/>
          <w:lang w:val="en"/>
        </w:rPr>
        <w:t xml:space="preserve"> </w:t>
      </w:r>
      <w:r>
        <w:rPr>
          <w:rFonts w:hint="default" w:ascii="Garamond" w:hAnsi="Garamond" w:cs="Garamond"/>
          <w:sz w:val="24"/>
          <w:szCs w:val="24"/>
        </w:rPr>
        <w:t xml:space="preserve">dalam </w:t>
      </w:r>
      <w:r>
        <w:rPr>
          <w:rFonts w:hint="default" w:ascii="Garamond" w:hAnsi="Garamond" w:cs="Garamond"/>
          <w:sz w:val="24"/>
          <w:szCs w:val="24"/>
          <w:lang w:val="en"/>
        </w:rPr>
        <w:t xml:space="preserve">QS. </w:t>
      </w:r>
      <w:r>
        <w:rPr>
          <w:rFonts w:hint="default" w:ascii="Garamond" w:hAnsi="Garamond" w:cs="Garamond"/>
          <w:sz w:val="24"/>
          <w:szCs w:val="24"/>
        </w:rPr>
        <w:t>a</w:t>
      </w:r>
      <w:r>
        <w:rPr>
          <w:rFonts w:hint="default" w:ascii="Garamond" w:hAnsi="Garamond" w:cs="Garamond"/>
          <w:sz w:val="24"/>
          <w:szCs w:val="24"/>
          <w:lang w:val="en"/>
        </w:rPr>
        <w:t xml:space="preserve">l-Ankabut </w:t>
      </w:r>
      <w:r>
        <w:rPr>
          <w:rFonts w:hint="default" w:ascii="Garamond" w:hAnsi="Garamond" w:cs="Garamond"/>
          <w:sz w:val="24"/>
          <w:szCs w:val="24"/>
        </w:rPr>
        <w:t>ayat</w:t>
      </w:r>
      <w:r>
        <w:rPr>
          <w:rFonts w:hint="default" w:ascii="Garamond" w:hAnsi="Garamond" w:cs="Garamond"/>
          <w:sz w:val="24"/>
          <w:szCs w:val="24"/>
          <w:lang w:val="en"/>
        </w:rPr>
        <w:t xml:space="preserve"> 29</w:t>
      </w:r>
      <w:r>
        <w:rPr>
          <w:rFonts w:hint="default" w:ascii="Garamond" w:hAnsi="Garamond" w:cs="Garamond"/>
          <w:sz w:val="24"/>
          <w:szCs w:val="24"/>
        </w:rPr>
        <w:t>.  Menurut</w:t>
      </w:r>
      <w:r>
        <w:rPr>
          <w:rFonts w:hint="default" w:ascii="Garamond" w:hAnsi="Garamond" w:cs="Garamond"/>
          <w:sz w:val="24"/>
          <w:szCs w:val="24"/>
          <w:lang w:val="en"/>
        </w:rPr>
        <w:t xml:space="preserve"> Musdah</w:t>
      </w:r>
      <w:r>
        <w:rPr>
          <w:rFonts w:hint="default" w:ascii="Garamond" w:hAnsi="Garamond" w:cs="Garamond"/>
          <w:sz w:val="24"/>
          <w:szCs w:val="24"/>
        </w:rPr>
        <w:t>, keempat istilah tersebut (</w:t>
      </w:r>
      <w:r>
        <w:rPr>
          <w:rFonts w:hint="default" w:ascii="Garamond" w:hAnsi="Garamond" w:cs="Garamond"/>
          <w:i/>
          <w:sz w:val="24"/>
          <w:szCs w:val="24"/>
          <w:lang w:val="en"/>
        </w:rPr>
        <w:t xml:space="preserve">al-fahisyah, al-sayyiat, al-khabaits </w:t>
      </w:r>
      <w:r>
        <w:rPr>
          <w:rFonts w:hint="default" w:ascii="Garamond" w:hAnsi="Garamond" w:cs="Garamond"/>
          <w:sz w:val="24"/>
          <w:szCs w:val="24"/>
          <w:lang w:val="en"/>
        </w:rPr>
        <w:t>dan</w:t>
      </w:r>
      <w:r>
        <w:rPr>
          <w:rFonts w:hint="default" w:ascii="Garamond" w:hAnsi="Garamond" w:cs="Garamond"/>
          <w:i/>
          <w:sz w:val="24"/>
          <w:szCs w:val="24"/>
          <w:lang w:val="en"/>
        </w:rPr>
        <w:t xml:space="preserve"> al-munkar</w:t>
      </w:r>
      <w:r>
        <w:rPr>
          <w:rFonts w:hint="default" w:ascii="Garamond" w:hAnsi="Garamond" w:cs="Garamond"/>
          <w:sz w:val="24"/>
          <w:szCs w:val="24"/>
        </w:rPr>
        <w:t xml:space="preserve">) </w:t>
      </w:r>
      <w:r>
        <w:rPr>
          <w:rFonts w:hint="default" w:ascii="Garamond" w:hAnsi="Garamond" w:cs="Garamond"/>
          <w:sz w:val="24"/>
          <w:szCs w:val="24"/>
          <w:lang w:val="en"/>
        </w:rPr>
        <w:t xml:space="preserve">bersifat umum </w:t>
      </w:r>
      <w:r>
        <w:rPr>
          <w:rFonts w:hint="default" w:ascii="Garamond" w:hAnsi="Garamond" w:cs="Garamond"/>
          <w:sz w:val="24"/>
          <w:szCs w:val="24"/>
        </w:rPr>
        <w:t xml:space="preserve">tidak sekedar mengarah kepada </w:t>
      </w:r>
      <w:r>
        <w:rPr>
          <w:rFonts w:hint="default" w:ascii="Garamond" w:hAnsi="Garamond" w:cs="Garamond"/>
          <w:sz w:val="24"/>
          <w:szCs w:val="24"/>
          <w:lang w:val="en"/>
        </w:rPr>
        <w:t>perilaku homoseksual</w:t>
      </w:r>
      <w:r>
        <w:rPr>
          <w:rFonts w:hint="default" w:ascii="Garamond" w:hAnsi="Garamond" w:cs="Garamond"/>
          <w:sz w:val="24"/>
          <w:szCs w:val="24"/>
        </w:rPr>
        <w:t>, melainkan juga</w:t>
      </w:r>
      <w:r>
        <w:rPr>
          <w:rFonts w:hint="default" w:ascii="Garamond" w:hAnsi="Garamond" w:cs="Garamond"/>
          <w:sz w:val="24"/>
          <w:szCs w:val="24"/>
          <w:lang w:val="en"/>
        </w:rPr>
        <w:t xml:space="preserve"> heteroseksual. Dengan </w:t>
      </w:r>
      <w:r>
        <w:rPr>
          <w:rFonts w:hint="default" w:ascii="Garamond" w:hAnsi="Garamond" w:cs="Garamond"/>
          <w:sz w:val="24"/>
          <w:szCs w:val="24"/>
        </w:rPr>
        <w:t>kata</w:t>
      </w:r>
      <w:r>
        <w:rPr>
          <w:rFonts w:hint="default" w:ascii="Garamond" w:hAnsi="Garamond" w:cs="Garamond"/>
          <w:sz w:val="24"/>
          <w:szCs w:val="24"/>
          <w:lang w:val="en"/>
        </w:rPr>
        <w:t xml:space="preserve"> lain, semua manusia </w:t>
      </w:r>
      <w:r>
        <w:rPr>
          <w:rFonts w:hint="default" w:ascii="Garamond" w:hAnsi="Garamond" w:cs="Garamond"/>
          <w:sz w:val="24"/>
          <w:szCs w:val="24"/>
        </w:rPr>
        <w:t xml:space="preserve">dapat </w:t>
      </w:r>
      <w:r>
        <w:rPr>
          <w:rFonts w:hint="default" w:ascii="Garamond" w:hAnsi="Garamond" w:cs="Garamond"/>
          <w:sz w:val="24"/>
          <w:szCs w:val="24"/>
          <w:lang w:val="en"/>
        </w:rPr>
        <w:t xml:space="preserve">terlibat dalam berbagai bentuk kejahatan seksual yang diistilahkan dalam empat </w:t>
      </w:r>
      <w:r>
        <w:rPr>
          <w:rFonts w:hint="default" w:ascii="Garamond" w:hAnsi="Garamond" w:cs="Garamond"/>
          <w:sz w:val="24"/>
          <w:szCs w:val="24"/>
        </w:rPr>
        <w:t>istilah</w:t>
      </w:r>
      <w:r>
        <w:rPr>
          <w:rFonts w:hint="default" w:ascii="Garamond" w:hAnsi="Garamond" w:cs="Garamond"/>
          <w:sz w:val="24"/>
          <w:szCs w:val="24"/>
          <w:lang w:val="en"/>
        </w:rPr>
        <w:t xml:space="preserve"> tersebut</w:t>
      </w:r>
      <w:r>
        <w:rPr>
          <w:rFonts w:hint="default" w:ascii="Garamond" w:hAnsi="Garamond" w:cs="Garamond"/>
          <w:sz w:val="24"/>
          <w:szCs w:val="24"/>
        </w:rPr>
        <w:t xml:space="preserve">. </w:t>
      </w:r>
    </w:p>
    <w:p>
      <w:pPr>
        <w:spacing w:beforeLines="0" w:afterLines="0" w:line="360" w:lineRule="auto"/>
        <w:ind w:firstLine="720" w:firstLineChars="0"/>
        <w:jc w:val="both"/>
        <w:rPr>
          <w:rFonts w:hint="default" w:ascii="Garamond" w:hAnsi="Garamond" w:cs="Garamond"/>
          <w:sz w:val="24"/>
          <w:szCs w:val="24"/>
          <w:lang w:val="en"/>
        </w:rPr>
      </w:pPr>
      <w:r>
        <w:rPr>
          <w:rFonts w:hint="default" w:ascii="Garamond" w:hAnsi="Garamond" w:cs="Garamond"/>
          <w:sz w:val="24"/>
          <w:szCs w:val="24"/>
        </w:rPr>
        <w:t>Keempat, a</w:t>
      </w:r>
      <w:r>
        <w:rPr>
          <w:rFonts w:hint="default" w:ascii="Garamond" w:hAnsi="Garamond" w:cs="Garamond"/>
          <w:sz w:val="24"/>
          <w:szCs w:val="24"/>
          <w:lang w:val="en"/>
        </w:rPr>
        <w:t xml:space="preserve">zab </w:t>
      </w:r>
      <w:r>
        <w:rPr>
          <w:rFonts w:hint="default" w:ascii="Garamond" w:hAnsi="Garamond" w:cs="Garamond"/>
          <w:sz w:val="24"/>
          <w:szCs w:val="24"/>
        </w:rPr>
        <w:t>yang diterima kaum Luth merupakan h</w:t>
      </w:r>
      <w:r>
        <w:rPr>
          <w:rFonts w:hint="default" w:ascii="Garamond" w:hAnsi="Garamond" w:cs="Garamond"/>
          <w:sz w:val="24"/>
          <w:szCs w:val="24"/>
          <w:lang w:val="en"/>
        </w:rPr>
        <w:t xml:space="preserve">ak </w:t>
      </w:r>
      <w:r>
        <w:rPr>
          <w:rFonts w:hint="default" w:ascii="Garamond" w:hAnsi="Garamond" w:cs="Garamond"/>
          <w:sz w:val="24"/>
          <w:szCs w:val="24"/>
        </w:rPr>
        <w:t>kekuasaan Allah.</w:t>
      </w:r>
      <w:r>
        <w:rPr>
          <w:rFonts w:hint="default" w:ascii="Garamond" w:hAnsi="Garamond" w:cs="Garamond"/>
          <w:sz w:val="24"/>
          <w:szCs w:val="24"/>
          <w:lang w:val="en"/>
        </w:rPr>
        <w:t xml:space="preserve"> Musdah  </w:t>
      </w:r>
      <w:r>
        <w:rPr>
          <w:rFonts w:hint="default" w:ascii="Garamond" w:hAnsi="Garamond" w:cs="Garamond"/>
          <w:sz w:val="24"/>
          <w:szCs w:val="24"/>
        </w:rPr>
        <w:t xml:space="preserve">mengatakan </w:t>
      </w:r>
      <w:r>
        <w:rPr>
          <w:rFonts w:hint="default" w:ascii="Garamond" w:hAnsi="Garamond" w:cs="Garamond"/>
          <w:sz w:val="24"/>
          <w:szCs w:val="24"/>
          <w:lang w:val="en"/>
        </w:rPr>
        <w:t xml:space="preserve">kontekstualias makna azab kaum Nabi Luth juga ditimpakan pada umat nabi-nabi lainnya. Bahkan, azab bagi umat Nuh jauh lebih dahsyat sehingga peristiwa itu disebut kiamat </w:t>
      </w:r>
      <w:r>
        <w:rPr>
          <w:rFonts w:hint="default" w:ascii="Garamond" w:hAnsi="Garamond" w:cs="Garamond"/>
          <w:sz w:val="24"/>
          <w:szCs w:val="24"/>
        </w:rPr>
        <w:t xml:space="preserve"> </w:t>
      </w:r>
      <w:r>
        <w:rPr>
          <w:rFonts w:hint="default" w:ascii="Garamond" w:hAnsi="Garamond" w:cs="Garamond"/>
          <w:sz w:val="24"/>
          <w:szCs w:val="24"/>
          <w:lang w:val="en"/>
        </w:rPr>
        <w:t xml:space="preserve">pertama. </w:t>
      </w:r>
      <w:r>
        <w:rPr>
          <w:rFonts w:hint="default" w:ascii="Garamond" w:hAnsi="Garamond" w:cs="Garamond"/>
          <w:sz w:val="24"/>
          <w:szCs w:val="24"/>
        </w:rPr>
        <w:t xml:space="preserve">Mernurutnya, </w:t>
      </w:r>
      <w:r>
        <w:rPr>
          <w:rFonts w:hint="default" w:ascii="Garamond" w:hAnsi="Garamond" w:cs="Garamond"/>
          <w:sz w:val="24"/>
          <w:szCs w:val="24"/>
          <w:lang w:val="en"/>
        </w:rPr>
        <w:t>Allah selalu murka kepada setiap umat yang berbuat keji dan dzalim serta melampui batas, tidak peduli dengan</w:t>
      </w:r>
      <w:r>
        <w:rPr>
          <w:rFonts w:hint="default" w:ascii="Garamond" w:hAnsi="Garamond" w:cs="Garamond"/>
          <w:sz w:val="24"/>
          <w:szCs w:val="24"/>
        </w:rPr>
        <w:t xml:space="preserve"> </w:t>
      </w:r>
      <w:r>
        <w:rPr>
          <w:rFonts w:hint="default" w:ascii="Garamond" w:hAnsi="Garamond" w:cs="Garamond"/>
          <w:sz w:val="24"/>
          <w:szCs w:val="24"/>
          <w:lang w:val="en"/>
        </w:rPr>
        <w:t>orientasi seksual dan identitas gender mereka. Azab Allah tidak mesti berkaitan dengan soal seksulitas. Azab Allah dapat mengenai siapa saja, tidak membedakan homo</w:t>
      </w:r>
      <w:r>
        <w:rPr>
          <w:rFonts w:hint="default" w:ascii="Garamond" w:hAnsi="Garamond" w:cs="Garamond"/>
          <w:sz w:val="24"/>
          <w:szCs w:val="24"/>
        </w:rPr>
        <w:t>seksual</w:t>
      </w:r>
      <w:r>
        <w:rPr>
          <w:rFonts w:hint="default" w:ascii="Garamond" w:hAnsi="Garamond" w:cs="Garamond"/>
          <w:sz w:val="24"/>
          <w:szCs w:val="24"/>
          <w:lang w:val="en"/>
        </w:rPr>
        <w:t xml:space="preserve"> atau hetero</w:t>
      </w:r>
      <w:r>
        <w:rPr>
          <w:rFonts w:hint="default" w:ascii="Garamond" w:hAnsi="Garamond" w:cs="Garamond"/>
          <w:sz w:val="24"/>
          <w:szCs w:val="24"/>
        </w:rPr>
        <w:t>seksual</w:t>
      </w:r>
      <w:r>
        <w:rPr>
          <w:rFonts w:hint="default" w:ascii="Garamond" w:hAnsi="Garamond" w:cs="Garamond"/>
          <w:sz w:val="24"/>
          <w:szCs w:val="24"/>
          <w:lang w:val="en"/>
        </w:rPr>
        <w:t>.</w:t>
      </w:r>
      <w:r>
        <w:rPr>
          <w:rFonts w:hint="default" w:ascii="Garamond" w:hAnsi="Garamond" w:cs="Garamond"/>
          <w:sz w:val="24"/>
          <w:szCs w:val="24"/>
          <w:vertAlign w:val="superscript"/>
          <w:lang w:val="en"/>
        </w:rPr>
        <w:footnoteReference w:id="29"/>
      </w:r>
    </w:p>
    <w:p>
      <w:pPr>
        <w:spacing w:beforeLines="0" w:afterLines="0" w:line="360" w:lineRule="auto"/>
        <w:ind w:firstLine="720" w:firstLineChars="0"/>
        <w:jc w:val="both"/>
        <w:rPr>
          <w:rFonts w:hint="default" w:ascii="Garamond" w:hAnsi="Garamond" w:cs="Garamond"/>
          <w:sz w:val="24"/>
          <w:szCs w:val="24"/>
          <w:lang w:val="en"/>
        </w:rPr>
      </w:pPr>
      <w:r>
        <w:rPr>
          <w:rFonts w:hint="default" w:ascii="Garamond" w:hAnsi="Garamond" w:cs="Garamond"/>
          <w:sz w:val="24"/>
          <w:szCs w:val="24"/>
        </w:rPr>
        <w:t>Berbeda dengan argumen Musdah Mulia, Huza</w:t>
      </w:r>
      <w:r>
        <w:rPr>
          <w:rFonts w:hint="default" w:ascii="Garamond" w:hAnsi="Garamond" w:cs="Garamond"/>
          <w:sz w:val="24"/>
          <w:szCs w:val="24"/>
          <w:lang w:val="en-US"/>
        </w:rPr>
        <w:t>em</w:t>
      </w:r>
      <w:r>
        <w:rPr>
          <w:rFonts w:hint="default" w:ascii="Garamond" w:hAnsi="Garamond" w:cs="Garamond"/>
          <w:sz w:val="24"/>
          <w:szCs w:val="24"/>
        </w:rPr>
        <w:t>ah</w:t>
      </w:r>
      <w:r>
        <w:rPr>
          <w:rFonts w:hint="default" w:ascii="Garamond" w:hAnsi="Garamond" w:cs="Garamond"/>
          <w:sz w:val="24"/>
          <w:szCs w:val="24"/>
          <w:lang w:val="en-US"/>
        </w:rPr>
        <w:t xml:space="preserve"> </w:t>
      </w:r>
      <w:r>
        <w:rPr>
          <w:rFonts w:hint="default" w:ascii="Garamond" w:hAnsi="Garamond" w:cs="Garamond"/>
          <w:sz w:val="24"/>
          <w:szCs w:val="24"/>
        </w:rPr>
        <w:t xml:space="preserve">Tahido Yanggo mengatakan bahwa </w:t>
      </w:r>
      <w:r>
        <w:rPr>
          <w:rFonts w:hint="default" w:ascii="Garamond" w:hAnsi="Garamond" w:cs="Garamond"/>
          <w:sz w:val="24"/>
          <w:szCs w:val="24"/>
          <w:lang w:val="en"/>
        </w:rPr>
        <w:t>Indonesia</w:t>
      </w:r>
      <w:r>
        <w:rPr>
          <w:rFonts w:hint="default" w:ascii="Garamond" w:hAnsi="Garamond" w:cs="Garamond"/>
          <w:sz w:val="24"/>
          <w:szCs w:val="24"/>
        </w:rPr>
        <w:t xml:space="preserve"> modern</w:t>
      </w:r>
      <w:r>
        <w:rPr>
          <w:rFonts w:hint="default" w:ascii="Garamond" w:hAnsi="Garamond" w:cs="Garamond"/>
          <w:sz w:val="24"/>
          <w:szCs w:val="24"/>
          <w:lang w:val="en"/>
        </w:rPr>
        <w:t xml:space="preserve"> semakin liberal. </w:t>
      </w:r>
      <w:r>
        <w:rPr>
          <w:rFonts w:hint="default" w:ascii="Garamond" w:hAnsi="Garamond" w:cs="Garamond"/>
          <w:sz w:val="24"/>
          <w:szCs w:val="24"/>
        </w:rPr>
        <w:t xml:space="preserve">Pernyataan demikian disebabkan fakta empiris di masyarakat telah merajalela kaum </w:t>
      </w:r>
      <w:r>
        <w:rPr>
          <w:rFonts w:hint="default" w:ascii="Garamond" w:hAnsi="Garamond" w:cs="Garamond"/>
          <w:sz w:val="24"/>
          <w:szCs w:val="24"/>
          <w:lang w:val="en"/>
        </w:rPr>
        <w:t>hom</w:t>
      </w:r>
      <w:r>
        <w:rPr>
          <w:rFonts w:hint="default" w:ascii="Garamond" w:hAnsi="Garamond" w:cs="Garamond"/>
          <w:sz w:val="24"/>
          <w:szCs w:val="24"/>
          <w:lang w:val="en-US"/>
        </w:rPr>
        <w:t xml:space="preserve">oseksual </w:t>
      </w:r>
      <w:r>
        <w:rPr>
          <w:rFonts w:hint="default" w:ascii="Garamond" w:hAnsi="Garamond" w:cs="Garamond"/>
          <w:sz w:val="24"/>
          <w:szCs w:val="24"/>
        </w:rPr>
        <w:t>banyak yang secara terbuka terang-terangan</w:t>
      </w:r>
      <w:r>
        <w:rPr>
          <w:rFonts w:hint="default" w:ascii="Garamond" w:hAnsi="Garamond" w:cs="Garamond"/>
          <w:sz w:val="24"/>
          <w:szCs w:val="24"/>
          <w:lang w:val="en"/>
        </w:rPr>
        <w:t xml:space="preserve"> mengekspos perbuatannya </w:t>
      </w:r>
      <w:r>
        <w:rPr>
          <w:rFonts w:hint="default" w:ascii="Garamond" w:hAnsi="Garamond" w:cs="Garamond"/>
          <w:sz w:val="24"/>
          <w:szCs w:val="24"/>
        </w:rPr>
        <w:t xml:space="preserve">di depan publik. Fenomena tersebut diperparah lagi oleh sebagian intelektual muslim yang mengadvokasinya dengan </w:t>
      </w:r>
      <w:r>
        <w:rPr>
          <w:rFonts w:hint="default" w:ascii="Garamond" w:hAnsi="Garamond" w:cs="Garamond"/>
          <w:sz w:val="24"/>
          <w:szCs w:val="24"/>
          <w:lang w:val="en"/>
        </w:rPr>
        <w:t xml:space="preserve"> mencari legitimasi dalil </w:t>
      </w:r>
      <w:r>
        <w:rPr>
          <w:rFonts w:hint="default" w:ascii="Garamond" w:hAnsi="Garamond" w:cs="Garamond"/>
          <w:sz w:val="24"/>
          <w:szCs w:val="24"/>
        </w:rPr>
        <w:t>nas yang kemudian</w:t>
      </w:r>
      <w:r>
        <w:rPr>
          <w:rFonts w:hint="default" w:ascii="Garamond" w:hAnsi="Garamond" w:cs="Garamond"/>
          <w:sz w:val="24"/>
          <w:szCs w:val="24"/>
          <w:lang w:val="en"/>
        </w:rPr>
        <w:t xml:space="preserve"> </w:t>
      </w:r>
      <w:r>
        <w:rPr>
          <w:rFonts w:hint="default" w:ascii="Garamond" w:hAnsi="Garamond" w:cs="Garamond"/>
          <w:sz w:val="24"/>
          <w:szCs w:val="24"/>
        </w:rPr>
        <w:t>dip</w:t>
      </w:r>
      <w:r>
        <w:rPr>
          <w:rFonts w:hint="default" w:ascii="Garamond" w:hAnsi="Garamond" w:cs="Garamond"/>
          <w:sz w:val="24"/>
          <w:szCs w:val="24"/>
          <w:lang w:val="en"/>
        </w:rPr>
        <w:t xml:space="preserve">elintir maknanya dengan tidak melihat kepada ayat-ayat yang lain yang berkenaan dengan masalah </w:t>
      </w:r>
      <w:r>
        <w:rPr>
          <w:rFonts w:hint="default" w:ascii="Garamond" w:hAnsi="Garamond" w:cs="Garamond"/>
          <w:sz w:val="24"/>
          <w:szCs w:val="24"/>
        </w:rPr>
        <w:t>terkait.  Menurut Huza</w:t>
      </w:r>
      <w:r>
        <w:rPr>
          <w:rFonts w:hint="default" w:ascii="Garamond" w:hAnsi="Garamond" w:cs="Garamond"/>
          <w:sz w:val="24"/>
          <w:szCs w:val="24"/>
          <w:lang w:val="en-US"/>
        </w:rPr>
        <w:t>em</w:t>
      </w:r>
      <w:r>
        <w:rPr>
          <w:rFonts w:hint="default" w:ascii="Garamond" w:hAnsi="Garamond" w:cs="Garamond"/>
          <w:sz w:val="24"/>
          <w:szCs w:val="24"/>
        </w:rPr>
        <w:t>ah, p</w:t>
      </w:r>
      <w:r>
        <w:rPr>
          <w:rFonts w:hint="default" w:ascii="Garamond" w:hAnsi="Garamond" w:cs="Garamond"/>
          <w:sz w:val="24"/>
          <w:szCs w:val="24"/>
          <w:lang w:val="en"/>
        </w:rPr>
        <w:t>ad</w:t>
      </w:r>
      <w:r>
        <w:rPr>
          <w:rFonts w:hint="default" w:ascii="Garamond" w:hAnsi="Garamond" w:cs="Garamond"/>
          <w:sz w:val="24"/>
          <w:szCs w:val="24"/>
        </w:rPr>
        <w:t>a</w:t>
      </w:r>
      <w:r>
        <w:rPr>
          <w:rFonts w:hint="default" w:ascii="Garamond" w:hAnsi="Garamond" w:cs="Garamond"/>
          <w:sz w:val="24"/>
          <w:szCs w:val="24"/>
          <w:lang w:val="en"/>
        </w:rPr>
        <w:t xml:space="preserve">hal ayat-ayat </w:t>
      </w:r>
      <w:r>
        <w:rPr>
          <w:rFonts w:hint="default" w:ascii="Garamond" w:hAnsi="Garamond" w:cs="Garamond"/>
          <w:sz w:val="24"/>
          <w:szCs w:val="24"/>
        </w:rPr>
        <w:t>a</w:t>
      </w:r>
      <w:r>
        <w:rPr>
          <w:rFonts w:hint="default" w:ascii="Garamond" w:hAnsi="Garamond" w:cs="Garamond"/>
          <w:sz w:val="24"/>
          <w:szCs w:val="24"/>
          <w:lang w:val="en"/>
        </w:rPr>
        <w:t>l-Qur</w:t>
      </w:r>
      <w:r>
        <w:rPr>
          <w:rFonts w:hint="default" w:ascii="Garamond" w:hAnsi="Garamond" w:cs="Garamond"/>
          <w:sz w:val="24"/>
          <w:szCs w:val="24"/>
        </w:rPr>
        <w:t>’</w:t>
      </w:r>
      <w:r>
        <w:rPr>
          <w:rFonts w:hint="default" w:ascii="Garamond" w:hAnsi="Garamond" w:cs="Garamond"/>
          <w:sz w:val="24"/>
          <w:szCs w:val="24"/>
          <w:lang w:val="en"/>
        </w:rPr>
        <w:t xml:space="preserve">an </w:t>
      </w:r>
      <w:r>
        <w:rPr>
          <w:rFonts w:hint="default" w:ascii="Garamond" w:hAnsi="Garamond" w:cs="Garamond"/>
          <w:sz w:val="24"/>
          <w:szCs w:val="24"/>
        </w:rPr>
        <w:t>sejatinya memiliki korelasi dalam</w:t>
      </w:r>
      <w:r>
        <w:rPr>
          <w:rFonts w:hint="default" w:ascii="Garamond" w:hAnsi="Garamond" w:cs="Garamond"/>
          <w:sz w:val="24"/>
          <w:szCs w:val="24"/>
          <w:lang w:val="en"/>
        </w:rPr>
        <w:t xml:space="preserve"> menafsirkan </w:t>
      </w:r>
      <w:r>
        <w:rPr>
          <w:rFonts w:hint="default" w:ascii="Garamond" w:hAnsi="Garamond" w:cs="Garamond"/>
          <w:sz w:val="24"/>
          <w:szCs w:val="24"/>
        </w:rPr>
        <w:t>suatu masalah tertentu. Tindakan penyelewangan kaum intelektual muslim tersebut dalam pandangan Huza</w:t>
      </w:r>
      <w:r>
        <w:rPr>
          <w:rFonts w:hint="default" w:ascii="Garamond" w:hAnsi="Garamond" w:cs="Garamond"/>
          <w:sz w:val="24"/>
          <w:szCs w:val="24"/>
          <w:lang w:val="en-US"/>
        </w:rPr>
        <w:t>em</w:t>
      </w:r>
      <w:r>
        <w:rPr>
          <w:rFonts w:hint="default" w:ascii="Garamond" w:hAnsi="Garamond" w:cs="Garamond"/>
          <w:sz w:val="24"/>
          <w:szCs w:val="24"/>
        </w:rPr>
        <w:t xml:space="preserve">ah </w:t>
      </w:r>
      <w:r>
        <w:rPr>
          <w:rFonts w:hint="default" w:ascii="Garamond" w:hAnsi="Garamond" w:cs="Garamond"/>
          <w:sz w:val="24"/>
          <w:szCs w:val="24"/>
          <w:lang w:val="en"/>
        </w:rPr>
        <w:t>disebabkan</w:t>
      </w:r>
      <w:r>
        <w:rPr>
          <w:rFonts w:hint="default" w:ascii="Garamond" w:hAnsi="Garamond" w:cs="Garamond"/>
          <w:sz w:val="24"/>
          <w:szCs w:val="24"/>
        </w:rPr>
        <w:t xml:space="preserve"> oleh minimnya </w:t>
      </w:r>
      <w:r>
        <w:rPr>
          <w:rFonts w:hint="default" w:ascii="Garamond" w:hAnsi="Garamond" w:cs="Garamond"/>
          <w:sz w:val="24"/>
          <w:szCs w:val="24"/>
          <w:lang w:val="en"/>
        </w:rPr>
        <w:t xml:space="preserve">ilmu </w:t>
      </w:r>
      <w:r>
        <w:rPr>
          <w:rFonts w:hint="default" w:ascii="Garamond" w:hAnsi="Garamond" w:cs="Garamond"/>
          <w:sz w:val="24"/>
          <w:szCs w:val="24"/>
        </w:rPr>
        <w:t xml:space="preserve">ke-Islaman, seperti </w:t>
      </w:r>
      <w:r>
        <w:rPr>
          <w:rFonts w:hint="default" w:ascii="Garamond" w:hAnsi="Garamond" w:cs="Garamond"/>
          <w:sz w:val="24"/>
          <w:szCs w:val="24"/>
          <w:lang w:val="en"/>
        </w:rPr>
        <w:t xml:space="preserve">belum banyak membaca tafsir dan Hadis, tidak </w:t>
      </w:r>
      <w:r>
        <w:rPr>
          <w:rFonts w:hint="default" w:ascii="Garamond" w:hAnsi="Garamond" w:cs="Garamond"/>
          <w:sz w:val="24"/>
          <w:szCs w:val="24"/>
        </w:rPr>
        <w:t xml:space="preserve">memahahami metodologi hukum Islam dengan baik dan lain sebagainya. Hal tersebutlah menjadikan mereka dengan mudah memberikan legitimasi eksistensi </w:t>
      </w:r>
      <w:r>
        <w:rPr>
          <w:rFonts w:hint="default" w:ascii="Garamond" w:hAnsi="Garamond" w:cs="Garamond"/>
          <w:sz w:val="24"/>
          <w:szCs w:val="24"/>
          <w:lang w:val="en-US"/>
        </w:rPr>
        <w:t xml:space="preserve">kaum homoseksual </w:t>
      </w:r>
      <w:r>
        <w:rPr>
          <w:rFonts w:hint="default" w:ascii="Garamond" w:hAnsi="Garamond" w:cs="Garamond"/>
          <w:sz w:val="24"/>
          <w:szCs w:val="24"/>
        </w:rPr>
        <w:t>dengan dalih</w:t>
      </w:r>
      <w:r>
        <w:rPr>
          <w:rFonts w:hint="default" w:ascii="Garamond" w:hAnsi="Garamond" w:cs="Garamond"/>
          <w:sz w:val="24"/>
          <w:szCs w:val="24"/>
          <w:lang w:val="en"/>
        </w:rPr>
        <w:t xml:space="preserve"> tidak ada larangan dari </w:t>
      </w:r>
      <w:r>
        <w:rPr>
          <w:rFonts w:hint="default" w:ascii="Garamond" w:hAnsi="Garamond" w:cs="Garamond"/>
          <w:sz w:val="24"/>
          <w:szCs w:val="24"/>
        </w:rPr>
        <w:t>a</w:t>
      </w:r>
      <w:r>
        <w:rPr>
          <w:rFonts w:hint="default" w:ascii="Garamond" w:hAnsi="Garamond" w:cs="Garamond"/>
          <w:sz w:val="24"/>
          <w:szCs w:val="24"/>
          <w:lang w:val="en"/>
        </w:rPr>
        <w:t>l-Qur</w:t>
      </w:r>
      <w:r>
        <w:rPr>
          <w:rFonts w:hint="default" w:ascii="Garamond" w:hAnsi="Garamond" w:cs="Garamond"/>
          <w:sz w:val="24"/>
          <w:szCs w:val="24"/>
        </w:rPr>
        <w:t>’</w:t>
      </w:r>
      <w:r>
        <w:rPr>
          <w:rFonts w:hint="default" w:ascii="Garamond" w:hAnsi="Garamond" w:cs="Garamond"/>
          <w:sz w:val="24"/>
          <w:szCs w:val="24"/>
          <w:lang w:val="en"/>
        </w:rPr>
        <w:t xml:space="preserve">an dan Hadis </w:t>
      </w:r>
      <w:r>
        <w:rPr>
          <w:rFonts w:hint="default" w:ascii="Garamond" w:hAnsi="Garamond" w:cs="Garamond"/>
          <w:sz w:val="24"/>
          <w:szCs w:val="24"/>
        </w:rPr>
        <w:t>yang melarangnya. Bahkan mirisnya mereka memandang</w:t>
      </w:r>
      <w:r>
        <w:rPr>
          <w:rFonts w:hint="default" w:ascii="Garamond" w:hAnsi="Garamond" w:cs="Garamond"/>
          <w:sz w:val="24"/>
          <w:szCs w:val="24"/>
          <w:lang w:val="en"/>
        </w:rPr>
        <w:t xml:space="preserve"> pelarangan terhadap </w:t>
      </w:r>
      <w:r>
        <w:rPr>
          <w:rFonts w:hint="default" w:ascii="Garamond" w:hAnsi="Garamond" w:cs="Garamond"/>
          <w:sz w:val="24"/>
          <w:szCs w:val="24"/>
          <w:lang w:val="en-US"/>
        </w:rPr>
        <w:t xml:space="preserve">kaum homoseksual merupakan </w:t>
      </w:r>
      <w:r>
        <w:rPr>
          <w:rFonts w:hint="default" w:ascii="Garamond" w:hAnsi="Garamond" w:cs="Garamond"/>
          <w:sz w:val="24"/>
          <w:szCs w:val="24"/>
        </w:rPr>
        <w:t xml:space="preserve">bentuk </w:t>
      </w:r>
      <w:r>
        <w:rPr>
          <w:rFonts w:hint="default" w:ascii="Garamond" w:hAnsi="Garamond" w:cs="Garamond"/>
          <w:sz w:val="24"/>
          <w:szCs w:val="24"/>
          <w:lang w:val="en"/>
        </w:rPr>
        <w:t>pela</w:t>
      </w:r>
      <w:r>
        <w:rPr>
          <w:rFonts w:hint="default" w:ascii="Garamond" w:hAnsi="Garamond" w:cs="Garamond"/>
          <w:sz w:val="24"/>
          <w:szCs w:val="24"/>
          <w:lang w:val="en-US"/>
        </w:rPr>
        <w:t>nggaran</w:t>
      </w:r>
      <w:r>
        <w:rPr>
          <w:rFonts w:hint="default" w:ascii="Garamond" w:hAnsi="Garamond" w:cs="Garamond"/>
          <w:sz w:val="24"/>
          <w:szCs w:val="24"/>
        </w:rPr>
        <w:t xml:space="preserve"> Hak Asasi Manusia</w:t>
      </w:r>
      <w:r>
        <w:rPr>
          <w:rFonts w:hint="default" w:ascii="Garamond" w:hAnsi="Garamond" w:cs="Garamond"/>
          <w:sz w:val="24"/>
          <w:szCs w:val="24"/>
          <w:lang w:val="en"/>
        </w:rPr>
        <w:t>.</w:t>
      </w:r>
      <w:r>
        <w:rPr>
          <w:rFonts w:hint="default" w:ascii="Garamond" w:hAnsi="Garamond" w:cs="Garamond"/>
          <w:sz w:val="24"/>
          <w:szCs w:val="24"/>
          <w:vertAlign w:val="superscript"/>
          <w:lang w:val="en"/>
        </w:rPr>
        <w:footnoteReference w:id="30"/>
      </w:r>
      <w:r>
        <w:rPr>
          <w:rFonts w:hint="default" w:ascii="Garamond" w:hAnsi="Garamond" w:cs="Garamond"/>
          <w:sz w:val="24"/>
          <w:szCs w:val="24"/>
          <w:lang w:val="en"/>
        </w:rPr>
        <w:t xml:space="preserve"> </w:t>
      </w:r>
    </w:p>
    <w:p>
      <w:pPr>
        <w:spacing w:beforeLines="0" w:afterLines="0" w:line="360" w:lineRule="auto"/>
        <w:ind w:firstLine="720" w:firstLineChars="0"/>
        <w:jc w:val="both"/>
        <w:rPr>
          <w:rFonts w:hint="default" w:ascii="Garamond" w:hAnsi="Garamond" w:cs="Garamond"/>
          <w:sz w:val="24"/>
          <w:szCs w:val="24"/>
        </w:rPr>
      </w:pPr>
      <w:r>
        <w:rPr>
          <w:rFonts w:hint="default" w:ascii="Garamond" w:hAnsi="Garamond" w:cs="Garamond"/>
          <w:sz w:val="24"/>
          <w:szCs w:val="24"/>
        </w:rPr>
        <w:t>Lebih lanjut Huza</w:t>
      </w:r>
      <w:r>
        <w:rPr>
          <w:rFonts w:hint="default" w:ascii="Garamond" w:hAnsi="Garamond" w:cs="Garamond"/>
          <w:sz w:val="24"/>
          <w:szCs w:val="24"/>
          <w:lang w:val="en-US"/>
        </w:rPr>
        <w:t>em</w:t>
      </w:r>
      <w:r>
        <w:rPr>
          <w:rFonts w:hint="default" w:ascii="Garamond" w:hAnsi="Garamond" w:cs="Garamond"/>
          <w:sz w:val="24"/>
          <w:szCs w:val="24"/>
        </w:rPr>
        <w:t>ah menjelaskan bahwa tindakan</w:t>
      </w:r>
      <w:r>
        <w:rPr>
          <w:rFonts w:hint="default" w:ascii="Garamond" w:hAnsi="Garamond" w:cs="Garamond"/>
          <w:sz w:val="24"/>
          <w:szCs w:val="24"/>
          <w:lang w:val="en"/>
        </w:rPr>
        <w:t xml:space="preserve"> homoseks</w:t>
      </w:r>
      <w:r>
        <w:rPr>
          <w:rFonts w:hint="default" w:ascii="Garamond" w:hAnsi="Garamond" w:cs="Garamond"/>
          <w:sz w:val="24"/>
          <w:szCs w:val="24"/>
        </w:rPr>
        <w:t>ual</w:t>
      </w:r>
      <w:r>
        <w:rPr>
          <w:rFonts w:hint="default" w:ascii="Garamond" w:hAnsi="Garamond" w:cs="Garamond"/>
          <w:sz w:val="24"/>
          <w:szCs w:val="24"/>
          <w:lang w:val="en"/>
        </w:rPr>
        <w:t xml:space="preserve"> </w:t>
      </w:r>
      <w:r>
        <w:rPr>
          <w:rFonts w:hint="default" w:ascii="Garamond" w:hAnsi="Garamond" w:cs="Garamond"/>
          <w:sz w:val="24"/>
          <w:szCs w:val="24"/>
        </w:rPr>
        <w:t>merupakan</w:t>
      </w:r>
      <w:r>
        <w:rPr>
          <w:rFonts w:hint="default" w:ascii="Garamond" w:hAnsi="Garamond" w:cs="Garamond"/>
          <w:sz w:val="24"/>
          <w:szCs w:val="24"/>
          <w:lang w:val="en"/>
        </w:rPr>
        <w:t xml:space="preserve"> perbuatan keji yang merusak kepribadian, moral dan agama. </w:t>
      </w:r>
      <w:r>
        <w:rPr>
          <w:rFonts w:hint="default" w:ascii="Garamond" w:hAnsi="Garamond" w:cs="Garamond"/>
          <w:sz w:val="24"/>
          <w:szCs w:val="24"/>
        </w:rPr>
        <w:t>Penjelasan tersebut dapat ditemukan dalam berbagai ayat al-Qur’an, antara lain</w:t>
      </w:r>
      <w:r>
        <w:rPr>
          <w:rFonts w:hint="default" w:ascii="Garamond" w:hAnsi="Garamond" w:cs="Garamond"/>
          <w:sz w:val="24"/>
          <w:szCs w:val="24"/>
          <w:lang w:val="en"/>
        </w:rPr>
        <w:t xml:space="preserve"> Q.S al-A</w:t>
      </w:r>
      <w:r>
        <w:rPr>
          <w:rFonts w:hint="default" w:ascii="Garamond" w:hAnsi="Garamond" w:eastAsia="Times New Roman" w:cs="Garamond"/>
          <w:sz w:val="24"/>
          <w:szCs w:val="24"/>
          <w:lang w:val="en"/>
        </w:rPr>
        <w:t>‟</w:t>
      </w:r>
      <w:r>
        <w:rPr>
          <w:rFonts w:hint="default" w:ascii="Garamond" w:hAnsi="Garamond" w:cs="Garamond"/>
          <w:sz w:val="24"/>
          <w:szCs w:val="24"/>
          <w:lang w:val="en"/>
        </w:rPr>
        <w:t>raf ayat : 80 dan 81</w:t>
      </w:r>
      <w:r>
        <w:rPr>
          <w:rFonts w:hint="default" w:ascii="Garamond" w:hAnsi="Garamond" w:cs="Garamond"/>
          <w:sz w:val="24"/>
          <w:szCs w:val="24"/>
        </w:rPr>
        <w:t xml:space="preserve">, </w:t>
      </w:r>
      <w:r>
        <w:rPr>
          <w:rFonts w:hint="default" w:ascii="Garamond" w:hAnsi="Garamond" w:cs="Garamond"/>
          <w:sz w:val="24"/>
          <w:szCs w:val="24"/>
          <w:lang w:val="en"/>
        </w:rPr>
        <w:t>Q.S al-Syu</w:t>
      </w:r>
      <w:r>
        <w:rPr>
          <w:rFonts w:hint="default" w:ascii="Garamond" w:hAnsi="Garamond" w:eastAsia="Times New Roman" w:cs="Garamond"/>
          <w:sz w:val="24"/>
          <w:szCs w:val="24"/>
          <w:lang w:val="en"/>
        </w:rPr>
        <w:t>‟</w:t>
      </w:r>
      <w:r>
        <w:rPr>
          <w:rFonts w:hint="default" w:ascii="Garamond" w:hAnsi="Garamond" w:cs="Garamond"/>
          <w:sz w:val="24"/>
          <w:szCs w:val="24"/>
          <w:lang w:val="en"/>
        </w:rPr>
        <w:t>ara ayat 165 dan 166</w:t>
      </w:r>
      <w:r>
        <w:rPr>
          <w:rFonts w:hint="default" w:ascii="Garamond" w:hAnsi="Garamond" w:cs="Garamond"/>
          <w:sz w:val="24"/>
          <w:szCs w:val="24"/>
        </w:rPr>
        <w:t xml:space="preserve">. Huzaimah menuturkan bahwa dalam ayat-ayat al-Qur’an telah dijelaskan kaum </w:t>
      </w:r>
      <w:r>
        <w:rPr>
          <w:rFonts w:hint="default" w:ascii="Garamond" w:hAnsi="Garamond" w:cs="Garamond"/>
          <w:color w:val="000000"/>
          <w:sz w:val="24"/>
          <w:szCs w:val="24"/>
          <w:lang w:eastAsia="zh-CN" w:bidi="ar"/>
        </w:rPr>
        <w:t xml:space="preserve">Nabi Luth yang melakukan hubungan seksual kepada sesama laki-laki dan tidak berminat kepada perempuan, akhirnya Allah memberikan hukuman kepada mereka dan memutarbalikan negeri mereka, termasuk isteri Nabi Luth kaum lesbi, tertanam bersamaan dengan terbaliknya negeri itu. </w:t>
      </w:r>
      <w:r>
        <w:rPr>
          <w:rFonts w:hint="default" w:ascii="Garamond" w:hAnsi="Garamond" w:cs="Garamond"/>
          <w:sz w:val="24"/>
          <w:szCs w:val="24"/>
        </w:rPr>
        <w:t>Kemudian Hadis Nabi Saw yang diriwayatkan oleh Muslim dari Abi Said yang artinya Janganlah pria melihat aurat pria lain dan  janganlah wanita melihat aurat wanita lain dan janganlah bersentuhan pria dengan pria lain di bawah sehelai selimut, dan janganlah pula wanita bersentuhan dengan wanita lain di bawah sehelai selimut</w:t>
      </w:r>
      <w:r>
        <w:rPr>
          <w:rFonts w:hint="default" w:ascii="Garamond" w:hAnsi="Garamond" w:cs="Garamond"/>
          <w:sz w:val="24"/>
          <w:szCs w:val="22"/>
          <w:rtl/>
          <w:lang w:val="ar-SA"/>
        </w:rPr>
        <w:t>”</w:t>
      </w:r>
      <w:r>
        <w:rPr>
          <w:rFonts w:hint="default" w:ascii="Garamond" w:hAnsi="Garamond" w:cs="Garamond"/>
          <w:sz w:val="24"/>
          <w:szCs w:val="24"/>
        </w:rPr>
        <w:t>.Tidak hanya itu, Huzaimah  menambahkan bahwa para u</w:t>
      </w:r>
      <w:r>
        <w:rPr>
          <w:rFonts w:hint="default" w:ascii="Garamond" w:hAnsi="Garamond" w:cs="Garamond"/>
          <w:sz w:val="24"/>
          <w:szCs w:val="24"/>
          <w:lang w:val="en"/>
        </w:rPr>
        <w:t xml:space="preserve">lama fikih </w:t>
      </w:r>
      <w:r>
        <w:rPr>
          <w:rFonts w:hint="default" w:ascii="Garamond" w:hAnsi="Garamond" w:cs="Garamond"/>
          <w:sz w:val="24"/>
          <w:szCs w:val="24"/>
        </w:rPr>
        <w:t xml:space="preserve">juga telah berkonsesus atas keharaman </w:t>
      </w:r>
      <w:r>
        <w:rPr>
          <w:rFonts w:hint="default" w:ascii="Garamond" w:hAnsi="Garamond" w:cs="Garamond"/>
          <w:sz w:val="24"/>
          <w:szCs w:val="24"/>
          <w:lang w:val="en"/>
        </w:rPr>
        <w:t>homoseks</w:t>
      </w:r>
      <w:r>
        <w:rPr>
          <w:rFonts w:hint="default" w:ascii="Garamond" w:hAnsi="Garamond" w:cs="Garamond"/>
          <w:sz w:val="24"/>
          <w:szCs w:val="24"/>
        </w:rPr>
        <w:t>ual.</w:t>
      </w:r>
      <w:r>
        <w:rPr>
          <w:rFonts w:hint="default" w:ascii="Garamond" w:hAnsi="Garamond" w:cs="Garamond"/>
          <w:sz w:val="24"/>
          <w:szCs w:val="24"/>
          <w:lang w:val="en"/>
        </w:rPr>
        <w:t xml:space="preserve"> </w:t>
      </w:r>
      <w:r>
        <w:rPr>
          <w:rFonts w:hint="default" w:ascii="Garamond" w:hAnsi="Garamond" w:cs="Garamond"/>
          <w:sz w:val="24"/>
          <w:szCs w:val="24"/>
        </w:rPr>
        <w:t>S</w:t>
      </w:r>
      <w:r>
        <w:rPr>
          <w:rFonts w:hint="default" w:ascii="Garamond" w:hAnsi="Garamond" w:cs="Garamond"/>
          <w:sz w:val="24"/>
          <w:szCs w:val="24"/>
          <w:lang w:val="en"/>
        </w:rPr>
        <w:t>elain</w:t>
      </w:r>
      <w:r>
        <w:rPr>
          <w:rFonts w:hint="default" w:ascii="Garamond" w:hAnsi="Garamond" w:cs="Garamond"/>
          <w:sz w:val="24"/>
          <w:szCs w:val="24"/>
        </w:rPr>
        <w:t xml:space="preserve"> itu, Huza</w:t>
      </w:r>
      <w:r>
        <w:rPr>
          <w:rFonts w:hint="default" w:ascii="Garamond" w:hAnsi="Garamond" w:cs="Garamond"/>
          <w:sz w:val="24"/>
          <w:szCs w:val="24"/>
          <w:lang w:val="en-US"/>
        </w:rPr>
        <w:t>em</w:t>
      </w:r>
      <w:r>
        <w:rPr>
          <w:rFonts w:hint="default" w:ascii="Garamond" w:hAnsi="Garamond" w:cs="Garamond"/>
          <w:sz w:val="24"/>
          <w:szCs w:val="24"/>
        </w:rPr>
        <w:t>ah juga melandaskan argumennya pada</w:t>
      </w:r>
      <w:r>
        <w:rPr>
          <w:rFonts w:hint="default" w:ascii="Garamond" w:hAnsi="Garamond" w:cs="Garamond"/>
          <w:sz w:val="24"/>
          <w:szCs w:val="24"/>
          <w:lang w:val="en"/>
        </w:rPr>
        <w:t xml:space="preserve"> kaidah </w:t>
      </w:r>
      <w:r>
        <w:rPr>
          <w:rFonts w:hint="default" w:ascii="Garamond" w:hAnsi="Garamond" w:cs="Garamond"/>
          <w:sz w:val="24"/>
          <w:szCs w:val="24"/>
        </w:rPr>
        <w:t>hukum Islam (</w:t>
      </w:r>
      <w:r>
        <w:rPr>
          <w:rFonts w:hint="default" w:ascii="Garamond" w:hAnsi="Garamond" w:cs="Garamond"/>
          <w:i/>
          <w:sz w:val="24"/>
          <w:szCs w:val="24"/>
        </w:rPr>
        <w:t>qowaid fiqhiyah</w:t>
      </w:r>
      <w:r>
        <w:rPr>
          <w:rFonts w:hint="default" w:ascii="Garamond" w:hAnsi="Garamond" w:cs="Garamond"/>
          <w:sz w:val="24"/>
          <w:szCs w:val="24"/>
        </w:rPr>
        <w:t>) yang berbunyi Hubungan seks pada dasarnya hukumnya haram, sehingga ada dalil yang menghalalkannya berupa akad nikah.</w:t>
      </w:r>
      <w:r>
        <w:rPr>
          <w:rFonts w:hint="default" w:ascii="Garamond" w:hAnsi="Garamond" w:cs="Garamond"/>
          <w:sz w:val="24"/>
          <w:szCs w:val="24"/>
          <w:vertAlign w:val="superscript"/>
        </w:rPr>
        <w:footnoteReference w:id="31"/>
      </w:r>
      <w:r>
        <w:rPr>
          <w:rFonts w:hint="default" w:ascii="Garamond" w:hAnsi="Garamond" w:cs="Garamond"/>
          <w:sz w:val="24"/>
          <w:szCs w:val="24"/>
        </w:rPr>
        <w:t xml:space="preserve"> </w:t>
      </w:r>
    </w:p>
    <w:p>
      <w:pPr>
        <w:spacing w:beforeLines="0" w:after="200" w:afterLines="0" w:line="360" w:lineRule="auto"/>
        <w:ind w:firstLine="720"/>
        <w:jc w:val="both"/>
        <w:rPr>
          <w:rFonts w:hint="default" w:ascii="Garamond" w:hAnsi="Garamond" w:cs="Garamond"/>
          <w:sz w:val="24"/>
          <w:szCs w:val="22"/>
          <w:rtl/>
          <w:lang w:val="en-US"/>
        </w:rPr>
      </w:pPr>
      <w:r>
        <w:rPr>
          <w:rFonts w:hint="default" w:ascii="Garamond" w:hAnsi="Garamond" w:cs="Garamond"/>
          <w:sz w:val="24"/>
          <w:szCs w:val="24"/>
        </w:rPr>
        <w:t>Berpijak dari berbagai landasan normatif di atas, Huza</w:t>
      </w:r>
      <w:r>
        <w:rPr>
          <w:rFonts w:hint="default" w:ascii="Garamond" w:hAnsi="Garamond" w:cs="Garamond"/>
          <w:sz w:val="24"/>
          <w:szCs w:val="24"/>
          <w:lang w:val="en-US"/>
        </w:rPr>
        <w:t>e</w:t>
      </w:r>
      <w:r>
        <w:rPr>
          <w:rFonts w:hint="default" w:ascii="Garamond" w:hAnsi="Garamond" w:cs="Garamond"/>
          <w:sz w:val="24"/>
          <w:szCs w:val="24"/>
        </w:rPr>
        <w:t xml:space="preserve">mah menegaskan bahwa homoseksual hukumnya haram. Ia mengingatkan jika ada pandangan yang membolehkannya, maka itu bertentangan dengan hukum Islam. Huzaimah menyebut mereka yang menyatakan keabsahan legitimasi </w:t>
      </w:r>
      <w:r>
        <w:rPr>
          <w:rFonts w:hint="default" w:ascii="Garamond" w:hAnsi="Garamond" w:cs="Garamond"/>
          <w:sz w:val="24"/>
          <w:szCs w:val="24"/>
          <w:lang w:val="en-US"/>
        </w:rPr>
        <w:t>homoseksual</w:t>
      </w:r>
      <w:r>
        <w:rPr>
          <w:rFonts w:hint="default" w:ascii="Garamond" w:hAnsi="Garamond" w:cs="Garamond"/>
          <w:sz w:val="24"/>
          <w:szCs w:val="24"/>
        </w:rPr>
        <w:t xml:space="preserve"> merupakan</w:t>
      </w:r>
      <w:r>
        <w:rPr>
          <w:rFonts w:hint="default" w:ascii="Garamond" w:hAnsi="Garamond" w:cs="Garamond"/>
          <w:sz w:val="24"/>
          <w:szCs w:val="22"/>
          <w:rtl/>
          <w:lang w:val="ar-SA"/>
        </w:rPr>
        <w:t xml:space="preserve"> </w:t>
      </w:r>
      <w:r>
        <w:rPr>
          <w:rFonts w:hint="default" w:ascii="Garamond" w:hAnsi="Garamond" w:cs="Garamond"/>
          <w:sz w:val="24"/>
          <w:szCs w:val="24"/>
        </w:rPr>
        <w:t>kelompok umat</w:t>
      </w:r>
      <w:r>
        <w:rPr>
          <w:rFonts w:hint="default" w:ascii="Garamond" w:hAnsi="Garamond" w:cs="Garamond"/>
          <w:sz w:val="24"/>
          <w:szCs w:val="22"/>
          <w:rtl/>
          <w:lang w:val="ar-SA"/>
        </w:rPr>
        <w:t xml:space="preserve"> liberal yang </w:t>
      </w:r>
      <w:r>
        <w:rPr>
          <w:rFonts w:hint="default" w:ascii="Garamond" w:hAnsi="Garamond" w:cs="Garamond"/>
          <w:sz w:val="24"/>
          <w:szCs w:val="24"/>
        </w:rPr>
        <w:t>sekedar</w:t>
      </w:r>
      <w:r>
        <w:rPr>
          <w:rFonts w:hint="default" w:ascii="Garamond" w:hAnsi="Garamond" w:cs="Garamond"/>
          <w:sz w:val="24"/>
          <w:szCs w:val="22"/>
          <w:rtl/>
          <w:lang w:val="ar-SA"/>
        </w:rPr>
        <w:t xml:space="preserve"> berbekal sedikit pengetahuan agama, sehingga mereka memberi fatwa yang menyesatkan</w:t>
      </w:r>
      <w:r>
        <w:rPr>
          <w:rFonts w:hint="default" w:ascii="Garamond" w:hAnsi="Garamond" w:cs="Garamond"/>
          <w:sz w:val="24"/>
          <w:szCs w:val="24"/>
        </w:rPr>
        <w:t xml:space="preserve"> kepada masyarakat. Tidak berhenti di situ, Huza</w:t>
      </w:r>
      <w:r>
        <w:rPr>
          <w:rFonts w:hint="default" w:ascii="Garamond" w:hAnsi="Garamond" w:cs="Garamond"/>
          <w:sz w:val="24"/>
          <w:szCs w:val="24"/>
          <w:lang w:val="en-US"/>
        </w:rPr>
        <w:t>e</w:t>
      </w:r>
      <w:r>
        <w:rPr>
          <w:rFonts w:hint="default" w:ascii="Garamond" w:hAnsi="Garamond" w:cs="Garamond"/>
          <w:sz w:val="24"/>
          <w:szCs w:val="24"/>
        </w:rPr>
        <w:t>mah juga mengingatkan bahwa prilaku homoseksual berdampak</w:t>
      </w:r>
      <w:r>
        <w:rPr>
          <w:rFonts w:hint="default" w:ascii="Garamond" w:hAnsi="Garamond" w:cs="Garamond"/>
          <w:sz w:val="24"/>
          <w:szCs w:val="22"/>
          <w:rtl/>
          <w:lang w:val="ar-SA"/>
        </w:rPr>
        <w:t xml:space="preserve"> resiko</w:t>
      </w:r>
      <w:r>
        <w:rPr>
          <w:rFonts w:hint="default" w:ascii="Garamond" w:hAnsi="Garamond" w:cs="Garamond"/>
          <w:sz w:val="24"/>
          <w:szCs w:val="24"/>
        </w:rPr>
        <w:t xml:space="preserve"> besar bagi keselamatan jiwa manusia</w:t>
      </w:r>
      <w:r>
        <w:rPr>
          <w:rFonts w:hint="default" w:ascii="Garamond" w:hAnsi="Garamond" w:cs="Garamond"/>
          <w:sz w:val="24"/>
          <w:szCs w:val="22"/>
          <w:rtl/>
          <w:lang w:val="ar-SA"/>
        </w:rPr>
        <w:t>, yaitu dapat menimbulkan penyakit kanker kelamin HIV/AIDS, spilis, dan lai</w:t>
      </w:r>
      <w:r>
        <w:rPr>
          <w:rFonts w:hint="default" w:ascii="Garamond" w:hAnsi="Garamond" w:cs="Garamond"/>
          <w:sz w:val="24"/>
          <w:szCs w:val="24"/>
        </w:rPr>
        <w:t>n sebagainya</w:t>
      </w:r>
      <w:r>
        <w:rPr>
          <w:rFonts w:hint="default" w:ascii="Garamond" w:hAnsi="Garamond" w:cs="Garamond"/>
          <w:sz w:val="24"/>
          <w:szCs w:val="22"/>
          <w:rtl/>
          <w:lang w:val="ar-SA"/>
        </w:rPr>
        <w:t xml:space="preserve">. </w:t>
      </w:r>
      <w:r>
        <w:rPr>
          <w:rFonts w:hint="default" w:ascii="Garamond" w:hAnsi="Garamond" w:cs="Garamond"/>
          <w:sz w:val="24"/>
          <w:szCs w:val="24"/>
        </w:rPr>
        <w:t xml:space="preserve">Tidak hanya itu, prilaku homoseksual </w:t>
      </w:r>
      <w:r>
        <w:rPr>
          <w:rFonts w:hint="default" w:ascii="Garamond" w:hAnsi="Garamond" w:cs="Garamond"/>
          <w:sz w:val="24"/>
          <w:szCs w:val="22"/>
          <w:rtl/>
          <w:lang w:val="ar-SA"/>
        </w:rPr>
        <w:t>bertentangan dengan</w:t>
      </w:r>
      <w:r>
        <w:rPr>
          <w:rFonts w:hint="default" w:ascii="Garamond" w:hAnsi="Garamond" w:cs="Garamond"/>
          <w:sz w:val="24"/>
          <w:szCs w:val="24"/>
        </w:rPr>
        <w:t xml:space="preserve"> </w:t>
      </w:r>
      <w:r>
        <w:rPr>
          <w:rFonts w:hint="default" w:ascii="Garamond" w:hAnsi="Garamond" w:cs="Garamond"/>
          <w:sz w:val="24"/>
          <w:szCs w:val="22"/>
          <w:rtl/>
          <w:lang w:val="ar-SA"/>
        </w:rPr>
        <w:t xml:space="preserve"> </w:t>
      </w:r>
      <w:r>
        <w:rPr>
          <w:rFonts w:hint="default" w:ascii="Garamond" w:hAnsi="Garamond" w:cs="Garamond"/>
          <w:sz w:val="24"/>
          <w:szCs w:val="24"/>
        </w:rPr>
        <w:t xml:space="preserve">ideologi </w:t>
      </w:r>
      <w:r>
        <w:rPr>
          <w:rFonts w:hint="default" w:ascii="Garamond" w:hAnsi="Garamond" w:cs="Garamond"/>
          <w:sz w:val="24"/>
          <w:szCs w:val="22"/>
          <w:rtl/>
          <w:lang w:val="ar-SA"/>
        </w:rPr>
        <w:t>Pancasila</w:t>
      </w:r>
      <w:r>
        <w:rPr>
          <w:rFonts w:hint="default" w:ascii="Garamond" w:hAnsi="Garamond" w:cs="Garamond"/>
          <w:sz w:val="24"/>
          <w:szCs w:val="24"/>
        </w:rPr>
        <w:t xml:space="preserve">, </w:t>
      </w:r>
      <w:r>
        <w:rPr>
          <w:rFonts w:hint="default" w:ascii="Garamond" w:hAnsi="Garamond" w:cs="Garamond"/>
          <w:sz w:val="24"/>
          <w:szCs w:val="22"/>
          <w:rtl/>
          <w:lang w:val="ar-SA"/>
        </w:rPr>
        <w:t>UUD 1945</w:t>
      </w:r>
      <w:r>
        <w:rPr>
          <w:rFonts w:hint="default" w:ascii="Garamond" w:hAnsi="Garamond" w:cs="Garamond"/>
          <w:sz w:val="24"/>
          <w:szCs w:val="24"/>
        </w:rPr>
        <w:t xml:space="preserve">. </w:t>
      </w:r>
      <w:r>
        <w:rPr>
          <w:rFonts w:hint="default" w:ascii="Garamond" w:hAnsi="Garamond" w:cs="Garamond"/>
          <w:sz w:val="24"/>
          <w:szCs w:val="22"/>
          <w:rtl/>
          <w:lang w:val="ar-SA"/>
        </w:rPr>
        <w:t xml:space="preserve">Undang-undang No. I Tahun 1974 tentang perkawinan serta </w:t>
      </w:r>
      <w:r>
        <w:rPr>
          <w:rFonts w:hint="default" w:ascii="Garamond" w:hAnsi="Garamond" w:cs="Garamond"/>
          <w:sz w:val="24"/>
          <w:szCs w:val="24"/>
        </w:rPr>
        <w:t>Kompilasi Hukum Islam (</w:t>
      </w:r>
      <w:r>
        <w:rPr>
          <w:rFonts w:hint="default" w:ascii="Garamond" w:hAnsi="Garamond" w:cs="Garamond"/>
          <w:sz w:val="24"/>
          <w:szCs w:val="22"/>
          <w:rtl/>
          <w:lang w:val="ar-SA"/>
        </w:rPr>
        <w:t>KHI</w:t>
      </w:r>
      <w:r>
        <w:rPr>
          <w:rFonts w:hint="default" w:ascii="Garamond" w:hAnsi="Garamond" w:cs="Garamond"/>
          <w:sz w:val="24"/>
          <w:szCs w:val="24"/>
        </w:rPr>
        <w:t>)</w:t>
      </w:r>
      <w:r>
        <w:rPr>
          <w:rFonts w:hint="default" w:ascii="Garamond" w:hAnsi="Garamond" w:cs="Garamond"/>
          <w:sz w:val="24"/>
          <w:szCs w:val="22"/>
          <w:rtl/>
          <w:lang w:val="ar-SA"/>
        </w:rPr>
        <w:t xml:space="preserve"> bidang perkawinan, yang men</w:t>
      </w:r>
      <w:r>
        <w:rPr>
          <w:rFonts w:hint="default" w:ascii="Garamond" w:hAnsi="Garamond" w:cs="Garamond"/>
          <w:sz w:val="24"/>
          <w:szCs w:val="24"/>
        </w:rPr>
        <w:t>yatakan bahwa pernikahan hanya dapat dilakukan oleh laki-laki dan perempuan</w:t>
      </w:r>
      <w:r>
        <w:rPr>
          <w:rFonts w:hint="default" w:ascii="Garamond" w:hAnsi="Garamond" w:cs="Garamond"/>
          <w:sz w:val="24"/>
          <w:szCs w:val="22"/>
          <w:rtl/>
          <w:lang w:val="ar-SA"/>
        </w:rPr>
        <w:t>.</w:t>
      </w:r>
      <w:r>
        <w:rPr>
          <w:rFonts w:hint="default" w:ascii="Garamond" w:hAnsi="Garamond" w:cs="Garamond"/>
          <w:sz w:val="24"/>
          <w:szCs w:val="24"/>
          <w:vertAlign w:val="superscript"/>
          <w:lang w:val="ar-SA"/>
        </w:rPr>
        <w:footnoteReference w:id="32"/>
      </w:r>
      <w:r>
        <w:rPr>
          <w:rFonts w:hint="default" w:ascii="Garamond" w:hAnsi="Garamond" w:cs="Garamond"/>
          <w:sz w:val="24"/>
          <w:szCs w:val="22"/>
          <w:rtl/>
          <w:lang w:val="ar-SA"/>
        </w:rPr>
        <w:t xml:space="preserve"> </w:t>
      </w:r>
      <w:r>
        <w:rPr>
          <w:rFonts w:hint="default" w:ascii="Garamond" w:hAnsi="Garamond" w:cs="Garamond"/>
          <w:sz w:val="24"/>
          <w:szCs w:val="22"/>
          <w:rtl w:val="0"/>
          <w:lang w:val="en-US"/>
        </w:rPr>
        <w:t xml:space="preserve">Berkaitan dengan KHI sebenarnya pernah mengalami resposn liberalisme pemikiran hukum Islam dari kelompok intelektual muslim Indonesia dalam bentuk </w:t>
      </w:r>
      <w:r>
        <w:rPr>
          <w:rFonts w:hint="default" w:ascii="Garamond" w:hAnsi="Garamond" w:cs="Garamond"/>
          <w:i/>
          <w:iCs/>
          <w:sz w:val="24"/>
          <w:szCs w:val="22"/>
          <w:rtl w:val="0"/>
          <w:lang w:val="en-US"/>
        </w:rPr>
        <w:t>Counter Legal Draft</w:t>
      </w:r>
      <w:r>
        <w:rPr>
          <w:rFonts w:hint="default" w:ascii="Garamond" w:hAnsi="Garamond" w:cs="Garamond"/>
          <w:sz w:val="24"/>
          <w:szCs w:val="22"/>
          <w:rtl w:val="0"/>
          <w:lang w:val="en-US"/>
        </w:rPr>
        <w:t xml:space="preserve"> (CLD)- KHI. Namun keberadaan CLD-KHI tersebut juga dimenawarkan rumusan Pasal atas keabsahan pernikahan sesama jenis.</w:t>
      </w:r>
      <w:r>
        <w:rPr>
          <w:rStyle w:val="5"/>
          <w:rFonts w:hint="default" w:ascii="Garamond" w:hAnsi="Garamond" w:cs="Garamond"/>
          <w:sz w:val="24"/>
          <w:szCs w:val="22"/>
          <w:rtl w:val="0"/>
          <w:lang w:val="en-US"/>
        </w:rPr>
        <w:footnoteReference w:id="33"/>
      </w:r>
      <w:r>
        <w:rPr>
          <w:rFonts w:hint="default" w:ascii="Garamond" w:hAnsi="Garamond" w:cs="Garamond"/>
          <w:sz w:val="24"/>
          <w:szCs w:val="22"/>
          <w:rtl w:val="0"/>
          <w:lang w:val="en-US"/>
        </w:rPr>
        <w:t xml:space="preserve"> </w:t>
      </w:r>
    </w:p>
    <w:p>
      <w:pPr>
        <w:spacing w:beforeLines="0" w:after="200" w:afterLines="0" w:line="360" w:lineRule="auto"/>
        <w:ind w:firstLine="720"/>
        <w:jc w:val="both"/>
        <w:rPr>
          <w:rFonts w:hint="default" w:ascii="Garamond" w:hAnsi="Garamond" w:cs="Garamond"/>
          <w:sz w:val="24"/>
          <w:szCs w:val="22"/>
          <w:rtl/>
          <w:lang w:val="ar-SA"/>
        </w:rPr>
      </w:pPr>
      <w:r>
        <w:rPr>
          <w:rFonts w:hint="default" w:ascii="Garamond" w:hAnsi="Garamond" w:cs="Garamond"/>
          <w:sz w:val="24"/>
          <w:szCs w:val="24"/>
        </w:rPr>
        <w:t xml:space="preserve">Tidak sekedar kritik dan analisis hukum Islam atas </w:t>
      </w:r>
      <w:r>
        <w:rPr>
          <w:rFonts w:hint="default" w:ascii="Garamond" w:hAnsi="Garamond" w:cs="Garamond"/>
          <w:sz w:val="24"/>
          <w:szCs w:val="24"/>
          <w:lang w:val="en-US"/>
        </w:rPr>
        <w:t>homoseksual</w:t>
      </w:r>
      <w:r>
        <w:rPr>
          <w:rFonts w:hint="default" w:ascii="Garamond" w:hAnsi="Garamond" w:cs="Garamond"/>
          <w:sz w:val="24"/>
          <w:szCs w:val="24"/>
        </w:rPr>
        <w:t xml:space="preserve">, Huzaimah juga memberikan beberapa saran kepada masyarakat  sebagai langkah prefentif untuk menghindarkan dari prilaku </w:t>
      </w:r>
      <w:r>
        <w:rPr>
          <w:rFonts w:hint="default" w:ascii="Garamond" w:hAnsi="Garamond" w:cs="Garamond"/>
          <w:sz w:val="24"/>
          <w:szCs w:val="24"/>
          <w:lang w:val="en-US"/>
        </w:rPr>
        <w:t>homoseksual</w:t>
      </w:r>
      <w:r>
        <w:rPr>
          <w:rFonts w:hint="default" w:ascii="Garamond" w:hAnsi="Garamond" w:cs="Garamond"/>
          <w:sz w:val="24"/>
          <w:szCs w:val="24"/>
        </w:rPr>
        <w:t>. Ia menuturkan bahwa pendidikan agama dan pendidikan seks merupakan dua hal yang tidak dapat ditawar dalam antisipasi untuk menghinndarkan</w:t>
      </w:r>
      <w:r>
        <w:rPr>
          <w:rFonts w:hint="default" w:ascii="Garamond" w:hAnsi="Garamond" w:cs="Garamond"/>
          <w:sz w:val="24"/>
          <w:szCs w:val="24"/>
          <w:lang w:val="en-US"/>
        </w:rPr>
        <w:t xml:space="preserve"> homoseksual</w:t>
      </w:r>
      <w:r>
        <w:rPr>
          <w:rFonts w:hint="default" w:ascii="Garamond" w:hAnsi="Garamond" w:cs="Garamond"/>
          <w:sz w:val="24"/>
          <w:szCs w:val="24"/>
        </w:rPr>
        <w:t>. Pada konteks ini, Huza</w:t>
      </w:r>
      <w:r>
        <w:rPr>
          <w:rFonts w:hint="default" w:ascii="Garamond" w:hAnsi="Garamond" w:cs="Garamond"/>
          <w:sz w:val="24"/>
          <w:szCs w:val="24"/>
          <w:lang w:val="en-US"/>
        </w:rPr>
        <w:t>em</w:t>
      </w:r>
      <w:r>
        <w:rPr>
          <w:rFonts w:hint="default" w:ascii="Garamond" w:hAnsi="Garamond" w:cs="Garamond"/>
          <w:sz w:val="24"/>
          <w:szCs w:val="24"/>
        </w:rPr>
        <w:t xml:space="preserve">ah menekankan peran aktif orang tua dalam beberapa langkah sebagai berikut. </w:t>
      </w:r>
      <w:r>
        <w:rPr>
          <w:rFonts w:hint="default" w:ascii="Garamond" w:hAnsi="Garamond" w:cs="Garamond"/>
          <w:sz w:val="24"/>
          <w:szCs w:val="22"/>
          <w:rtl/>
          <w:lang w:val="ar-SA"/>
        </w:rPr>
        <w:t xml:space="preserve">Pertama, </w:t>
      </w:r>
      <w:r>
        <w:rPr>
          <w:rFonts w:hint="default" w:ascii="Garamond" w:hAnsi="Garamond" w:cs="Garamond"/>
          <w:sz w:val="24"/>
          <w:szCs w:val="24"/>
        </w:rPr>
        <w:t xml:space="preserve">menghindarkan pellbagai </w:t>
      </w:r>
      <w:r>
        <w:rPr>
          <w:rFonts w:hint="default" w:ascii="Garamond" w:hAnsi="Garamond" w:cs="Garamond"/>
          <w:sz w:val="24"/>
          <w:szCs w:val="22"/>
          <w:rtl/>
          <w:lang w:val="ar-SA"/>
        </w:rPr>
        <w:t>hal-</w:t>
      </w:r>
      <w:r>
        <w:rPr>
          <w:rFonts w:hint="default" w:ascii="Garamond" w:hAnsi="Garamond" w:cs="Garamond"/>
          <w:sz w:val="24"/>
          <w:szCs w:val="24"/>
        </w:rPr>
        <w:t xml:space="preserve">yang </w:t>
      </w:r>
      <w:r>
        <w:rPr>
          <w:rFonts w:hint="default" w:ascii="Garamond" w:hAnsi="Garamond" w:cs="Garamond"/>
          <w:sz w:val="24"/>
          <w:szCs w:val="22"/>
          <w:rtl/>
          <w:lang w:val="ar-SA"/>
        </w:rPr>
        <w:t xml:space="preserve">mengarahkan pada perilaku homoseksual. Kedua, </w:t>
      </w:r>
      <w:r>
        <w:rPr>
          <w:rFonts w:hint="default" w:ascii="Garamond" w:hAnsi="Garamond" w:cs="Garamond"/>
          <w:sz w:val="24"/>
          <w:szCs w:val="24"/>
        </w:rPr>
        <w:t xml:space="preserve">melakukan pernikahan yang sah. </w:t>
      </w:r>
      <w:r>
        <w:rPr>
          <w:rFonts w:hint="default" w:ascii="Garamond" w:hAnsi="Garamond" w:cs="Garamond"/>
          <w:sz w:val="24"/>
          <w:szCs w:val="22"/>
          <w:rtl/>
          <w:lang w:val="ar-SA"/>
        </w:rPr>
        <w:t>Hubungan seks memiliki berbagai tujuan mulia, selain karena harus dilakukan di dalam ikatan suci pernikahan, melalui pernikahan inilah diharapkan akan lahir generasi berikutnya.</w:t>
      </w:r>
      <w:r>
        <w:rPr>
          <w:rFonts w:hint="default" w:ascii="Garamond" w:hAnsi="Garamond" w:cs="Garamond"/>
          <w:sz w:val="24"/>
          <w:szCs w:val="24"/>
        </w:rPr>
        <w:t xml:space="preserve"> </w:t>
      </w:r>
      <w:r>
        <w:rPr>
          <w:rFonts w:hint="default" w:ascii="Garamond" w:hAnsi="Garamond" w:cs="Garamond"/>
          <w:sz w:val="24"/>
          <w:szCs w:val="22"/>
          <w:rtl/>
          <w:lang w:val="ar-SA"/>
        </w:rPr>
        <w:t xml:space="preserve">Ketiga, </w:t>
      </w:r>
      <w:r>
        <w:rPr>
          <w:rFonts w:hint="default" w:ascii="Garamond" w:hAnsi="Garamond" w:cs="Garamond"/>
          <w:sz w:val="24"/>
          <w:szCs w:val="24"/>
        </w:rPr>
        <w:t xml:space="preserve">memberikan sanksi </w:t>
      </w:r>
      <w:r>
        <w:rPr>
          <w:rFonts w:hint="default" w:ascii="Garamond" w:hAnsi="Garamond" w:cs="Garamond"/>
          <w:sz w:val="24"/>
          <w:szCs w:val="22"/>
          <w:rtl/>
          <w:lang w:val="ar-SA"/>
        </w:rPr>
        <w:t xml:space="preserve">hukuman </w:t>
      </w:r>
      <w:r>
        <w:rPr>
          <w:rFonts w:hint="default" w:ascii="Garamond" w:hAnsi="Garamond" w:cs="Garamond"/>
          <w:sz w:val="24"/>
          <w:szCs w:val="24"/>
        </w:rPr>
        <w:t>bagi</w:t>
      </w:r>
      <w:r>
        <w:rPr>
          <w:rFonts w:hint="default" w:ascii="Garamond" w:hAnsi="Garamond" w:cs="Garamond"/>
          <w:sz w:val="24"/>
          <w:szCs w:val="22"/>
          <w:rtl/>
          <w:lang w:val="ar-SA"/>
        </w:rPr>
        <w:t xml:space="preserve"> pelaku penyimpangan seksual</w:t>
      </w:r>
      <w:r>
        <w:rPr>
          <w:rFonts w:hint="default" w:ascii="Garamond" w:hAnsi="Garamond" w:cs="Garamond"/>
          <w:sz w:val="24"/>
          <w:szCs w:val="24"/>
        </w:rPr>
        <w:t>. K</w:t>
      </w:r>
      <w:r>
        <w:rPr>
          <w:rFonts w:hint="default" w:ascii="Garamond" w:hAnsi="Garamond" w:cs="Garamond"/>
          <w:sz w:val="24"/>
          <w:szCs w:val="22"/>
          <w:rtl/>
          <w:lang w:val="ar-SA"/>
        </w:rPr>
        <w:t xml:space="preserve">eempat, pemerintah </w:t>
      </w:r>
      <w:r>
        <w:rPr>
          <w:rFonts w:hint="default" w:ascii="Garamond" w:hAnsi="Garamond" w:cs="Garamond"/>
          <w:sz w:val="24"/>
          <w:szCs w:val="24"/>
        </w:rPr>
        <w:t xml:space="preserve">melarang keras segala </w:t>
      </w:r>
      <w:r>
        <w:rPr>
          <w:rFonts w:hint="default" w:ascii="Garamond" w:hAnsi="Garamond" w:cs="Garamond"/>
          <w:sz w:val="24"/>
          <w:szCs w:val="22"/>
          <w:rtl/>
          <w:lang w:val="ar-SA"/>
        </w:rPr>
        <w:t xml:space="preserve">bentuk propaganda, promosi dan dukungan terhadap legalisasi dan perkembangan </w:t>
      </w:r>
      <w:r>
        <w:rPr>
          <w:rFonts w:hint="default" w:ascii="Garamond" w:hAnsi="Garamond" w:cs="Garamond"/>
          <w:sz w:val="24"/>
          <w:szCs w:val="22"/>
          <w:rtl w:val="0"/>
          <w:lang w:val="en-US"/>
        </w:rPr>
        <w:t>kaum homoseksual</w:t>
      </w:r>
      <w:r>
        <w:rPr>
          <w:rFonts w:hint="default" w:ascii="Garamond" w:hAnsi="Garamond" w:cs="Garamond"/>
          <w:sz w:val="24"/>
          <w:szCs w:val="22"/>
          <w:rtl/>
          <w:lang w:val="ar-SA"/>
        </w:rPr>
        <w:t>.</w:t>
      </w:r>
      <w:r>
        <w:rPr>
          <w:rFonts w:hint="default" w:ascii="Garamond" w:hAnsi="Garamond" w:cs="Garamond"/>
          <w:sz w:val="24"/>
          <w:szCs w:val="24"/>
        </w:rPr>
        <w:t xml:space="preserve"> Tidak hanya itu, pemerintah juga harus s</w:t>
      </w:r>
      <w:r>
        <w:rPr>
          <w:rFonts w:hint="default" w:ascii="Garamond" w:hAnsi="Garamond" w:cs="Garamond"/>
          <w:sz w:val="24"/>
          <w:szCs w:val="22"/>
          <w:rtl/>
          <w:lang w:val="ar-SA"/>
        </w:rPr>
        <w:t xml:space="preserve">egera mengeluarkan peraturan perundang-undangan yang melarang prilaku dan praktek </w:t>
      </w:r>
      <w:r>
        <w:rPr>
          <w:rFonts w:hint="default" w:ascii="Garamond" w:hAnsi="Garamond" w:cs="Garamond"/>
          <w:sz w:val="24"/>
          <w:szCs w:val="22"/>
          <w:rtl w:val="0"/>
          <w:lang w:val="en-US"/>
        </w:rPr>
        <w:t>kaum homoseksual</w:t>
      </w:r>
      <w:r>
        <w:rPr>
          <w:rFonts w:hint="default" w:ascii="Garamond" w:hAnsi="Garamond" w:cs="Garamond"/>
          <w:sz w:val="24"/>
          <w:szCs w:val="22"/>
          <w:rtl/>
          <w:lang w:val="ar-SA"/>
        </w:rPr>
        <w:t>.</w:t>
      </w:r>
      <w:r>
        <w:rPr>
          <w:rFonts w:hint="default" w:ascii="Garamond" w:hAnsi="Garamond" w:cs="Garamond"/>
          <w:sz w:val="24"/>
          <w:szCs w:val="24"/>
        </w:rPr>
        <w:t xml:space="preserve"> </w:t>
      </w:r>
      <w:r>
        <w:rPr>
          <w:rFonts w:hint="default" w:ascii="Garamond" w:hAnsi="Garamond" w:cs="Garamond"/>
          <w:sz w:val="24"/>
          <w:szCs w:val="22"/>
          <w:rtl/>
          <w:lang w:val="ar-SA"/>
        </w:rPr>
        <w:t>Ke</w:t>
      </w:r>
      <w:r>
        <w:rPr>
          <w:rFonts w:hint="default" w:ascii="Garamond" w:hAnsi="Garamond" w:cs="Garamond"/>
          <w:sz w:val="24"/>
          <w:szCs w:val="24"/>
        </w:rPr>
        <w:t xml:space="preserve">lima, </w:t>
      </w:r>
      <w:r>
        <w:rPr>
          <w:rFonts w:hint="default" w:ascii="Garamond" w:hAnsi="Garamond" w:cs="Garamond"/>
          <w:sz w:val="24"/>
          <w:szCs w:val="22"/>
          <w:rtl/>
          <w:lang w:val="ar-SA"/>
        </w:rPr>
        <w:t xml:space="preserve">pemerintah </w:t>
      </w:r>
      <w:r>
        <w:rPr>
          <w:rFonts w:hint="default" w:ascii="Garamond" w:hAnsi="Garamond" w:cs="Garamond"/>
          <w:sz w:val="24"/>
          <w:szCs w:val="24"/>
        </w:rPr>
        <w:t>menyediakan</w:t>
      </w:r>
      <w:r>
        <w:rPr>
          <w:rFonts w:hint="default" w:ascii="Garamond" w:hAnsi="Garamond" w:cs="Garamond"/>
          <w:sz w:val="24"/>
          <w:szCs w:val="22"/>
          <w:rtl/>
          <w:lang w:val="ar-SA"/>
        </w:rPr>
        <w:t xml:space="preserve"> program kerja dan anggaran di bidang pendampingan, rehabilitasi serta penyembuhan bagi </w:t>
      </w:r>
      <w:r>
        <w:rPr>
          <w:rFonts w:hint="default" w:ascii="Garamond" w:hAnsi="Garamond" w:cs="Garamond"/>
          <w:sz w:val="24"/>
          <w:szCs w:val="24"/>
        </w:rPr>
        <w:t>para</w:t>
      </w:r>
      <w:r>
        <w:rPr>
          <w:rFonts w:hint="default" w:ascii="Garamond" w:hAnsi="Garamond" w:cs="Garamond"/>
          <w:sz w:val="24"/>
          <w:szCs w:val="22"/>
          <w:rtl/>
          <w:lang w:val="ar-SA"/>
        </w:rPr>
        <w:t xml:space="preserve"> </w:t>
      </w:r>
      <w:r>
        <w:rPr>
          <w:rFonts w:hint="default" w:ascii="Garamond" w:hAnsi="Garamond" w:cs="Garamond"/>
          <w:sz w:val="24"/>
          <w:szCs w:val="22"/>
          <w:rtl w:val="0"/>
          <w:lang w:val="en-US"/>
        </w:rPr>
        <w:t>homoseksual</w:t>
      </w:r>
      <w:r>
        <w:rPr>
          <w:rFonts w:hint="default" w:ascii="Garamond" w:hAnsi="Garamond" w:cs="Garamond"/>
          <w:sz w:val="24"/>
          <w:szCs w:val="22"/>
          <w:rtl/>
          <w:lang w:val="ar-SA"/>
        </w:rPr>
        <w:t>. Ke</w:t>
      </w:r>
      <w:r>
        <w:rPr>
          <w:rFonts w:hint="default" w:ascii="Garamond" w:hAnsi="Garamond" w:cs="Garamond"/>
          <w:sz w:val="24"/>
          <w:szCs w:val="24"/>
        </w:rPr>
        <w:t>enam</w:t>
      </w:r>
      <w:r>
        <w:rPr>
          <w:rFonts w:hint="default" w:ascii="Garamond" w:hAnsi="Garamond" w:cs="Garamond"/>
          <w:sz w:val="24"/>
          <w:szCs w:val="22"/>
          <w:rtl/>
          <w:lang w:val="ar-SA"/>
        </w:rPr>
        <w:t xml:space="preserve">, masyarakat </w:t>
      </w:r>
      <w:r>
        <w:rPr>
          <w:rFonts w:hint="default" w:ascii="Garamond" w:hAnsi="Garamond" w:cs="Garamond"/>
          <w:sz w:val="24"/>
          <w:szCs w:val="24"/>
        </w:rPr>
        <w:t xml:space="preserve">berperan aktif </w:t>
      </w:r>
      <w:r>
        <w:rPr>
          <w:rFonts w:hint="default" w:ascii="Garamond" w:hAnsi="Garamond" w:cs="Garamond"/>
          <w:sz w:val="24"/>
          <w:szCs w:val="22"/>
          <w:rtl/>
          <w:lang w:val="ar-SA"/>
        </w:rPr>
        <w:t xml:space="preserve">membantu pendampingan terhadap komunitas </w:t>
      </w:r>
      <w:r>
        <w:rPr>
          <w:rFonts w:hint="default" w:ascii="Garamond" w:hAnsi="Garamond" w:cs="Garamond"/>
          <w:sz w:val="24"/>
          <w:szCs w:val="22"/>
          <w:rtl w:val="0"/>
          <w:lang w:val="en-US"/>
        </w:rPr>
        <w:t xml:space="preserve">homoseksual </w:t>
      </w:r>
      <w:r>
        <w:rPr>
          <w:rFonts w:hint="default" w:ascii="Garamond" w:hAnsi="Garamond" w:cs="Garamond"/>
          <w:sz w:val="24"/>
          <w:szCs w:val="22"/>
          <w:rtl/>
          <w:lang w:val="ar-SA"/>
        </w:rPr>
        <w:t>dan tidak mengucilkan mereka.</w:t>
      </w:r>
      <w:r>
        <w:rPr>
          <w:rFonts w:hint="default" w:ascii="Garamond" w:hAnsi="Garamond" w:cs="Garamond"/>
          <w:sz w:val="24"/>
          <w:szCs w:val="24"/>
          <w:vertAlign w:val="superscript"/>
          <w:lang w:val="ar-SA"/>
        </w:rPr>
        <w:footnoteReference w:id="34"/>
      </w:r>
    </w:p>
    <w:p>
      <w:pPr>
        <w:spacing w:beforeLines="0" w:afterLines="0" w:line="360" w:lineRule="auto"/>
        <w:jc w:val="both"/>
        <w:rPr>
          <w:rFonts w:hint="default" w:ascii="Garamond" w:hAnsi="Garamond" w:cs="Garamond"/>
          <w:sz w:val="24"/>
          <w:szCs w:val="24"/>
          <w:lang w:val="en-US"/>
        </w:rPr>
      </w:pPr>
      <w:r>
        <w:rPr>
          <w:rFonts w:hint="default" w:ascii="Garamond" w:hAnsi="Garamond" w:cs="Garamond"/>
          <w:b/>
          <w:sz w:val="24"/>
          <w:szCs w:val="24"/>
        </w:rPr>
        <w:t>Analisis Komparatif Atas Konstruski Pemikiran Musdah Mulia dan Huza</w:t>
      </w:r>
      <w:r>
        <w:rPr>
          <w:rFonts w:hint="default" w:ascii="Garamond" w:hAnsi="Garamond" w:cs="Garamond"/>
          <w:b/>
          <w:sz w:val="24"/>
          <w:szCs w:val="24"/>
          <w:lang w:val="en-US"/>
        </w:rPr>
        <w:t>e</w:t>
      </w:r>
      <w:r>
        <w:rPr>
          <w:rFonts w:hint="default" w:ascii="Garamond" w:hAnsi="Garamond" w:cs="Garamond"/>
          <w:b/>
          <w:sz w:val="24"/>
          <w:szCs w:val="24"/>
        </w:rPr>
        <w:t>mah Tahido Yanggo Tentang Hukum Homoseksual</w:t>
      </w:r>
      <w:r>
        <w:rPr>
          <w:rFonts w:hint="default" w:ascii="Garamond" w:hAnsi="Garamond" w:cs="Garamond"/>
          <w:b/>
          <w:sz w:val="24"/>
          <w:szCs w:val="24"/>
          <w:lang w:val="en-US"/>
        </w:rPr>
        <w:t xml:space="preserve"> </w:t>
      </w:r>
    </w:p>
    <w:p>
      <w:pPr>
        <w:spacing w:beforeLines="0" w:afterLines="0" w:line="360" w:lineRule="auto"/>
        <w:ind w:firstLine="720" w:firstLineChars="0"/>
        <w:jc w:val="both"/>
        <w:rPr>
          <w:rFonts w:hint="default" w:ascii="Garamond" w:hAnsi="Garamond" w:cs="Garamond"/>
          <w:sz w:val="24"/>
          <w:szCs w:val="24"/>
          <w:lang w:val="en-US"/>
        </w:rPr>
      </w:pPr>
      <w:r>
        <w:rPr>
          <w:rFonts w:hint="default" w:ascii="Garamond" w:hAnsi="Garamond" w:cs="Garamond"/>
          <w:sz w:val="24"/>
          <w:szCs w:val="24"/>
          <w:lang w:val="en-US"/>
        </w:rPr>
        <w:t>Tidak dapat dibantah bahwa k</w:t>
      </w:r>
      <w:r>
        <w:rPr>
          <w:rFonts w:hint="default" w:ascii="Garamond" w:hAnsi="Garamond" w:cs="Garamond"/>
          <w:sz w:val="24"/>
          <w:szCs w:val="24"/>
          <w:lang w:val="zh-CN"/>
        </w:rPr>
        <w:t>onsep</w:t>
      </w:r>
      <w:r>
        <w:rPr>
          <w:rFonts w:hint="default" w:ascii="Garamond" w:hAnsi="Garamond" w:cs="Garamond"/>
          <w:sz w:val="24"/>
          <w:szCs w:val="24"/>
          <w:lang w:val="en-US"/>
        </w:rPr>
        <w:t xml:space="preserve"> ajaran</w:t>
      </w:r>
      <w:r>
        <w:rPr>
          <w:rFonts w:hint="default" w:ascii="Garamond" w:hAnsi="Garamond" w:cs="Garamond"/>
          <w:sz w:val="24"/>
          <w:szCs w:val="24"/>
          <w:lang w:val="zh-CN"/>
        </w:rPr>
        <w:t xml:space="preserve"> Islam moderat menjadi hal yang niscaya dan sangat dibut</w:t>
      </w:r>
      <w:r>
        <w:rPr>
          <w:rFonts w:hint="default" w:ascii="Garamond" w:hAnsi="Garamond" w:cs="Garamond"/>
          <w:sz w:val="24"/>
          <w:szCs w:val="24"/>
          <w:lang w:val="en-US"/>
        </w:rPr>
        <w:t>u</w:t>
      </w:r>
      <w:r>
        <w:rPr>
          <w:rFonts w:hint="default" w:ascii="Garamond" w:hAnsi="Garamond" w:cs="Garamond"/>
          <w:sz w:val="24"/>
          <w:szCs w:val="24"/>
          <w:lang w:val="zh-CN"/>
        </w:rPr>
        <w:t xml:space="preserve">hkan di era globalisasi yang berdampak pada segala aspek kehidupan </w:t>
      </w:r>
      <w:r>
        <w:rPr>
          <w:rFonts w:hint="default" w:ascii="Garamond" w:hAnsi="Garamond" w:cs="Garamond"/>
          <w:sz w:val="24"/>
          <w:szCs w:val="24"/>
          <w:lang w:val="en-US"/>
        </w:rPr>
        <w:t xml:space="preserve">sosial </w:t>
      </w:r>
      <w:r>
        <w:rPr>
          <w:rFonts w:hint="default" w:ascii="Garamond" w:hAnsi="Garamond" w:cs="Garamond"/>
          <w:sz w:val="24"/>
          <w:szCs w:val="24"/>
          <w:lang w:val="zh-CN"/>
        </w:rPr>
        <w:t>umat manusia</w:t>
      </w:r>
      <w:r>
        <w:rPr>
          <w:rFonts w:hint="default" w:ascii="Garamond" w:hAnsi="Garamond" w:cs="Garamond"/>
          <w:sz w:val="24"/>
          <w:szCs w:val="24"/>
          <w:lang w:val="en-US"/>
        </w:rPr>
        <w:t>.</w:t>
      </w:r>
      <w:r>
        <w:rPr>
          <w:rStyle w:val="5"/>
          <w:rFonts w:hint="default" w:ascii="Garamond" w:hAnsi="Garamond" w:cs="Garamond"/>
          <w:sz w:val="24"/>
          <w:szCs w:val="24"/>
          <w:lang w:val="en-US"/>
        </w:rPr>
        <w:footnoteReference w:id="35"/>
      </w:r>
      <w:r>
        <w:rPr>
          <w:rFonts w:hint="default" w:ascii="Garamond" w:hAnsi="Garamond" w:cs="Garamond"/>
          <w:sz w:val="24"/>
          <w:szCs w:val="24"/>
          <w:lang w:val="en-US"/>
        </w:rPr>
        <w:t xml:space="preserve"> Namun demikian paham Islam moderat tersebut bukanlah paham yang permisif dan mengabaikan landasan noormatif ajaran Islam yang sudah baku dan mapan, melainkan paham yang memiliki basis paradigmatik ajaran Islam yang benar sesuai dengan pelbagai kaidah yang ada, tidak terkecuali paham Islam dalam merespons fenomena kaum homoseksual yang akhir-akhir ni menjadi isu krusial di pelabagai negara modern, terutama negara yang sebagian besar penduduknya beragama Islam, seperti halnya di Indonesia. Terlebih ideologi negara Indonesia yang berupa Pancasila menjadi pedoman nilai sosial luhur dalam mewujudkan peradaban kehidupan masyarakat Indonesia.</w:t>
      </w:r>
      <w:r>
        <w:rPr>
          <w:rStyle w:val="5"/>
          <w:rFonts w:hint="default" w:ascii="Garamond" w:hAnsi="Garamond" w:cs="Garamond"/>
          <w:sz w:val="24"/>
          <w:szCs w:val="24"/>
          <w:lang w:val="en-US"/>
        </w:rPr>
        <w:footnoteReference w:id="36"/>
      </w:r>
      <w:r>
        <w:rPr>
          <w:rFonts w:hint="default" w:ascii="Garamond" w:hAnsi="Garamond" w:cs="Garamond"/>
          <w:sz w:val="24"/>
          <w:szCs w:val="24"/>
          <w:lang w:val="en-US"/>
        </w:rPr>
        <w:t xml:space="preserve"> Tidak hanya itu,</w:t>
      </w:r>
      <w:r>
        <w:rPr>
          <w:rFonts w:hint="default" w:ascii="Garamond" w:hAnsi="Garamond" w:eastAsia="Palatino Linotype" w:cs="Garamond"/>
          <w:color w:val="000000"/>
          <w:kern w:val="0"/>
          <w:sz w:val="22"/>
          <w:szCs w:val="22"/>
          <w:lang w:val="en-US" w:eastAsia="zh-CN" w:bidi="ar"/>
        </w:rPr>
        <w:t xml:space="preserve"> muatan nilai Pancasila sejatinya seperangkat nilai yang menghubungkan antara nilai ke-Islaman, kemoderenan dan ke-Indonesiaan.</w:t>
      </w:r>
      <w:r>
        <w:rPr>
          <w:rFonts w:hint="default" w:ascii="Garamond" w:hAnsi="Garamond" w:eastAsia="SimSun" w:cs="Garamond"/>
          <w:color w:val="000000"/>
          <w:kern w:val="0"/>
          <w:sz w:val="24"/>
          <w:szCs w:val="24"/>
          <w:lang w:val="en-US" w:eastAsia="zh-CN" w:bidi="ar"/>
        </w:rPr>
        <w:t>.</w:t>
      </w:r>
      <w:r>
        <w:rPr>
          <w:rStyle w:val="5"/>
          <w:rFonts w:hint="default" w:ascii="Garamond" w:hAnsi="Garamond" w:eastAsia="SimSun" w:cs="Garamond"/>
          <w:color w:val="000000"/>
          <w:kern w:val="0"/>
          <w:sz w:val="24"/>
          <w:szCs w:val="24"/>
          <w:lang w:val="en-US" w:eastAsia="zh-CN" w:bidi="ar"/>
        </w:rPr>
        <w:footnoteReference w:id="37"/>
      </w:r>
    </w:p>
    <w:p>
      <w:pPr>
        <w:spacing w:beforeLines="0" w:afterLines="0" w:line="360" w:lineRule="auto"/>
        <w:ind w:firstLine="720" w:firstLineChars="0"/>
        <w:jc w:val="both"/>
        <w:rPr>
          <w:rFonts w:hint="default" w:ascii="Garamond" w:hAnsi="Garamond" w:cs="Garamond"/>
          <w:sz w:val="24"/>
          <w:szCs w:val="24"/>
        </w:rPr>
      </w:pPr>
      <w:r>
        <w:rPr>
          <w:rFonts w:hint="default" w:ascii="Garamond" w:hAnsi="Garamond" w:cs="Garamond"/>
          <w:sz w:val="24"/>
          <w:szCs w:val="24"/>
          <w:lang w:val="en-US"/>
        </w:rPr>
        <w:t>P</w:t>
      </w:r>
      <w:r>
        <w:rPr>
          <w:rFonts w:hint="default" w:ascii="Garamond" w:hAnsi="Garamond" w:cs="Garamond"/>
          <w:sz w:val="24"/>
          <w:szCs w:val="24"/>
        </w:rPr>
        <w:t xml:space="preserve">ada sub bab inti pembahasan penelitian ini, penulis akan melakukan analisis komparatif terhadap distingsi pemikiran hukum Islam tentang </w:t>
      </w:r>
      <w:r>
        <w:rPr>
          <w:rFonts w:hint="default" w:ascii="Garamond" w:hAnsi="Garamond" w:cs="Garamond"/>
          <w:sz w:val="24"/>
          <w:szCs w:val="24"/>
          <w:lang w:val="en-US"/>
        </w:rPr>
        <w:t>homoseksual</w:t>
      </w:r>
      <w:r>
        <w:rPr>
          <w:rFonts w:hint="default" w:ascii="Garamond" w:hAnsi="Garamond" w:cs="Garamond"/>
          <w:sz w:val="24"/>
          <w:szCs w:val="24"/>
        </w:rPr>
        <w:t xml:space="preserve"> dari kedua tokoh tersebut. Uraian lebih lanjut, sebagai berikut. </w:t>
      </w:r>
    </w:p>
    <w:p>
      <w:pPr>
        <w:spacing w:beforeLines="0" w:afterLines="0" w:line="360" w:lineRule="auto"/>
        <w:ind w:firstLine="720" w:firstLineChars="0"/>
        <w:jc w:val="both"/>
        <w:rPr>
          <w:rFonts w:hint="default" w:ascii="Garamond" w:hAnsi="Garamond" w:cs="Garamond"/>
          <w:sz w:val="24"/>
          <w:szCs w:val="24"/>
          <w:lang w:val="id-ID"/>
        </w:rPr>
      </w:pPr>
      <w:r>
        <w:rPr>
          <w:rFonts w:hint="default" w:ascii="Garamond" w:hAnsi="Garamond" w:cs="Garamond"/>
          <w:sz w:val="24"/>
          <w:szCs w:val="24"/>
        </w:rPr>
        <w:t>Pemikiran Musdah Mulia yang cenderiung mel</w:t>
      </w:r>
      <w:r>
        <w:rPr>
          <w:rFonts w:hint="default" w:ascii="Garamond" w:hAnsi="Garamond" w:cs="Garamond"/>
          <w:sz w:val="24"/>
          <w:szCs w:val="24"/>
          <w:lang w:val="en-US"/>
        </w:rPr>
        <w:t>eg</w:t>
      </w:r>
      <w:r>
        <w:rPr>
          <w:rFonts w:hint="default" w:ascii="Garamond" w:hAnsi="Garamond" w:cs="Garamond"/>
          <w:sz w:val="24"/>
          <w:szCs w:val="24"/>
        </w:rPr>
        <w:t xml:space="preserve">itimasi keabsahan </w:t>
      </w:r>
      <w:r>
        <w:rPr>
          <w:rFonts w:hint="default" w:ascii="Garamond" w:hAnsi="Garamond" w:cs="Garamond"/>
          <w:sz w:val="24"/>
          <w:szCs w:val="24"/>
          <w:lang w:val="en-US"/>
        </w:rPr>
        <w:t>homoseksual</w:t>
      </w:r>
      <w:r>
        <w:rPr>
          <w:rFonts w:hint="default" w:ascii="Garamond" w:hAnsi="Garamond" w:cs="Garamond"/>
          <w:sz w:val="24"/>
          <w:szCs w:val="24"/>
        </w:rPr>
        <w:t xml:space="preserve"> </w:t>
      </w:r>
      <w:r>
        <w:rPr>
          <w:rFonts w:hint="default" w:ascii="Garamond" w:hAnsi="Garamond" w:cs="Garamond"/>
          <w:sz w:val="24"/>
          <w:szCs w:val="24"/>
          <w:lang w:val="en-US"/>
        </w:rPr>
        <w:t xml:space="preserve">dengan dalih bersifat </w:t>
      </w:r>
      <w:r>
        <w:rPr>
          <w:rFonts w:hint="default" w:ascii="Garamond" w:hAnsi="Garamond" w:cs="Garamond"/>
          <w:sz w:val="24"/>
          <w:szCs w:val="24"/>
        </w:rPr>
        <w:t xml:space="preserve">kodrati selama tidak </w:t>
      </w:r>
      <w:r>
        <w:rPr>
          <w:rFonts w:hint="default" w:ascii="Garamond" w:hAnsi="Garamond" w:cs="Garamond"/>
          <w:sz w:val="24"/>
          <w:szCs w:val="24"/>
          <w:lang w:val="en-US"/>
        </w:rPr>
        <w:t>bertindak</w:t>
      </w:r>
      <w:r>
        <w:rPr>
          <w:rFonts w:hint="default" w:ascii="Garamond" w:hAnsi="Garamond" w:cs="Garamond"/>
          <w:sz w:val="24"/>
          <w:szCs w:val="24"/>
        </w:rPr>
        <w:t xml:space="preserve"> sodomi merupakan pemikiran yang tidak sejalan dengan kaidah prefentif dalam kaidah fikih. Hal demikian disebabkan kendatipun </w:t>
      </w:r>
      <w:r>
        <w:rPr>
          <w:rFonts w:hint="default" w:ascii="Garamond" w:hAnsi="Garamond" w:cs="Garamond"/>
          <w:sz w:val="24"/>
          <w:szCs w:val="24"/>
          <w:lang w:val="id-ID"/>
        </w:rPr>
        <w:t xml:space="preserve">mereka </w:t>
      </w:r>
      <w:r>
        <w:rPr>
          <w:rFonts w:hint="default" w:ascii="Garamond" w:hAnsi="Garamond" w:cs="Garamond"/>
          <w:sz w:val="24"/>
          <w:szCs w:val="24"/>
        </w:rPr>
        <w:t xml:space="preserve">para kaum </w:t>
      </w:r>
      <w:r>
        <w:rPr>
          <w:rFonts w:hint="default" w:ascii="Garamond" w:hAnsi="Garamond" w:cs="Garamond"/>
          <w:sz w:val="24"/>
          <w:szCs w:val="24"/>
          <w:lang w:val="id-ID"/>
        </w:rPr>
        <w:t>homoseksual tanpa melakukan sodomi</w:t>
      </w:r>
      <w:r>
        <w:rPr>
          <w:rFonts w:hint="default" w:ascii="Garamond" w:hAnsi="Garamond" w:cs="Garamond"/>
          <w:sz w:val="24"/>
          <w:szCs w:val="24"/>
        </w:rPr>
        <w:t xml:space="preserve"> karena dalih yang dilarang dalam al-Qur’an secara eksplisit adalah sodomi, akan tetapi prilaku </w:t>
      </w:r>
      <w:r>
        <w:rPr>
          <w:rFonts w:hint="default" w:ascii="Garamond" w:hAnsi="Garamond" w:cs="Garamond"/>
          <w:sz w:val="24"/>
          <w:szCs w:val="24"/>
          <w:lang w:val="id-ID"/>
        </w:rPr>
        <w:t>homoseksual dapat menjerumuskan pelakunya dalam perbuatan sodomi, yang jelas diharamkan dalam al-Qur’an dan hadith</w:t>
      </w:r>
      <w:r>
        <w:rPr>
          <w:rFonts w:hint="default" w:ascii="Garamond" w:hAnsi="Garamond" w:cs="Garamond"/>
          <w:sz w:val="24"/>
          <w:szCs w:val="24"/>
        </w:rPr>
        <w:t xml:space="preserve">. Salah satu kaidah fikih universal yang menekankan tindakan prefentif dan dapat digunakan dalam melegitimasi keharaman tindakan homoseksual tanpa sodom, yakni </w:t>
      </w:r>
      <w:r>
        <w:rPr>
          <w:rFonts w:hint="default" w:ascii="Garamond" w:hAnsi="Garamond" w:cs="Garamond"/>
          <w:i/>
          <w:sz w:val="24"/>
          <w:szCs w:val="24"/>
        </w:rPr>
        <w:t xml:space="preserve">al-dhororu yuzaalu </w:t>
      </w:r>
      <w:r>
        <w:rPr>
          <w:rFonts w:hint="default" w:ascii="Garamond" w:hAnsi="Garamond" w:cs="Garamond"/>
          <w:sz w:val="24"/>
          <w:szCs w:val="24"/>
        </w:rPr>
        <w:t>yang artinya kemudaratan harus dihilangkan. Kaidah ini sangat berperan dalam pembinaan hukum Islam, terutama untuk menghindari berbagai kemudharatan dalam kehidupan masyarakat.</w:t>
      </w:r>
      <w:r>
        <w:rPr>
          <w:rFonts w:hint="default" w:ascii="Garamond" w:hAnsi="Garamond" w:eastAsia="SimSun" w:cs="Garamond"/>
          <w:sz w:val="24"/>
          <w:szCs w:val="24"/>
          <w:vertAlign w:val="superscript"/>
        </w:rPr>
        <w:footnoteReference w:id="38"/>
      </w:r>
      <w:r>
        <w:rPr>
          <w:rFonts w:hint="default" w:ascii="Garamond" w:hAnsi="Garamond" w:cs="Garamond"/>
          <w:sz w:val="24"/>
          <w:szCs w:val="24"/>
        </w:rPr>
        <w:t xml:space="preserve"> Jika dikaitkan dengan perspektif metodologi hukum Islam lain, dalam ushul fikih misalnya, maka kaidah</w:t>
      </w:r>
      <w:r>
        <w:rPr>
          <w:rFonts w:hint="default" w:ascii="Garamond" w:hAnsi="Garamond" w:cs="Garamond"/>
          <w:sz w:val="24"/>
          <w:szCs w:val="24"/>
          <w:lang w:val="id-ID"/>
        </w:rPr>
        <w:t xml:space="preserve"> </w:t>
      </w:r>
      <w:r>
        <w:rPr>
          <w:rFonts w:hint="default" w:ascii="Garamond" w:hAnsi="Garamond" w:cs="Garamond"/>
          <w:i/>
          <w:sz w:val="24"/>
          <w:szCs w:val="24"/>
          <w:lang w:val="id-ID"/>
        </w:rPr>
        <w:t>Sadd al-dhari’ah</w:t>
      </w:r>
      <w:r>
        <w:rPr>
          <w:rFonts w:hint="default" w:ascii="Garamond" w:hAnsi="Garamond" w:cs="Garamond"/>
          <w:i/>
          <w:sz w:val="24"/>
          <w:szCs w:val="24"/>
        </w:rPr>
        <w:t xml:space="preserve">, </w:t>
      </w:r>
      <w:r>
        <w:rPr>
          <w:rFonts w:hint="default" w:ascii="Garamond" w:hAnsi="Garamond" w:cs="Garamond"/>
          <w:sz w:val="24"/>
          <w:szCs w:val="24"/>
        </w:rPr>
        <w:t>yakni menutup pelbagai hal yang dapat mendatangkan bahaya atau kerusakan</w:t>
      </w:r>
      <w:r>
        <w:rPr>
          <w:rFonts w:hint="default" w:ascii="Garamond" w:hAnsi="Garamond" w:cs="Garamond"/>
          <w:i/>
          <w:sz w:val="24"/>
          <w:szCs w:val="24"/>
        </w:rPr>
        <w:t xml:space="preserve">. </w:t>
      </w:r>
    </w:p>
    <w:p>
      <w:pPr>
        <w:spacing w:beforeLines="0" w:afterLines="0" w:line="360" w:lineRule="auto"/>
        <w:ind w:firstLine="720" w:firstLineChars="0"/>
        <w:jc w:val="both"/>
        <w:rPr>
          <w:rFonts w:hint="default" w:ascii="Garamond" w:hAnsi="Garamond" w:cs="Garamond"/>
          <w:sz w:val="24"/>
          <w:szCs w:val="24"/>
          <w:lang w:val="id-ID"/>
        </w:rPr>
      </w:pPr>
      <w:r>
        <w:rPr>
          <w:rFonts w:hint="default" w:ascii="Garamond" w:hAnsi="Garamond" w:cs="Garamond"/>
          <w:sz w:val="24"/>
          <w:szCs w:val="24"/>
        </w:rPr>
        <w:t xml:space="preserve">Kembali kepada pandanagan Musdah Mulia yang meligitimasi kebasahan kaum </w:t>
      </w:r>
      <w:r>
        <w:rPr>
          <w:rFonts w:hint="default" w:ascii="Garamond" w:hAnsi="Garamond" w:cs="Garamond"/>
          <w:sz w:val="24"/>
          <w:szCs w:val="24"/>
          <w:lang w:val="en-US"/>
        </w:rPr>
        <w:t>homoseksual</w:t>
      </w:r>
      <w:r>
        <w:rPr>
          <w:rFonts w:hint="default" w:ascii="Garamond" w:hAnsi="Garamond" w:cs="Garamond"/>
          <w:sz w:val="24"/>
          <w:szCs w:val="24"/>
        </w:rPr>
        <w:t>. Penulis memandang seharusnya ia mempertimbangkan pelbagai aspek mudharat yang kompleks  dari prilaku</w:t>
      </w:r>
      <w:r>
        <w:rPr>
          <w:rFonts w:hint="default" w:ascii="Garamond" w:hAnsi="Garamond" w:cs="Garamond"/>
          <w:sz w:val="24"/>
          <w:szCs w:val="24"/>
          <w:lang w:val="id-ID"/>
        </w:rPr>
        <w:t xml:space="preserve"> homoseksual</w:t>
      </w:r>
      <w:r>
        <w:rPr>
          <w:rFonts w:hint="default" w:ascii="Garamond" w:hAnsi="Garamond" w:cs="Garamond"/>
          <w:sz w:val="24"/>
          <w:szCs w:val="24"/>
        </w:rPr>
        <w:t xml:space="preserve"> </w:t>
      </w:r>
      <w:r>
        <w:rPr>
          <w:rFonts w:hint="default" w:ascii="Garamond" w:hAnsi="Garamond" w:cs="Garamond"/>
          <w:sz w:val="24"/>
          <w:szCs w:val="24"/>
          <w:lang w:val="id-ID"/>
        </w:rPr>
        <w:t>dengan mempertimbangkan kemaslahatan atau kemafsadatan</w:t>
      </w:r>
      <w:r>
        <w:rPr>
          <w:rFonts w:hint="default" w:ascii="Garamond" w:hAnsi="Garamond" w:cs="Garamond"/>
          <w:sz w:val="24"/>
          <w:szCs w:val="24"/>
        </w:rPr>
        <w:t xml:space="preserve"> melalui </w:t>
      </w:r>
      <w:r>
        <w:rPr>
          <w:rFonts w:hint="default" w:ascii="Garamond" w:hAnsi="Garamond" w:cs="Garamond"/>
          <w:sz w:val="24"/>
          <w:szCs w:val="24"/>
          <w:lang w:val="id-ID"/>
        </w:rPr>
        <w:t>multi</w:t>
      </w:r>
      <w:r>
        <w:rPr>
          <w:rFonts w:hint="default" w:ascii="Garamond" w:hAnsi="Garamond" w:cs="Garamond"/>
          <w:sz w:val="24"/>
          <w:szCs w:val="24"/>
        </w:rPr>
        <w:t>perspektif</w:t>
      </w:r>
      <w:r>
        <w:rPr>
          <w:rFonts w:hint="default" w:ascii="Garamond" w:hAnsi="Garamond" w:cs="Garamond"/>
          <w:sz w:val="24"/>
          <w:szCs w:val="24"/>
          <w:lang w:val="id-ID"/>
        </w:rPr>
        <w:t xml:space="preserve"> ilmu keagamaan, kedokteran, psikologi, </w:t>
      </w:r>
      <w:r>
        <w:rPr>
          <w:rFonts w:hint="default" w:ascii="Garamond" w:hAnsi="Garamond" w:cs="Garamond"/>
          <w:sz w:val="24"/>
          <w:szCs w:val="24"/>
        </w:rPr>
        <w:t xml:space="preserve">yuridis, </w:t>
      </w:r>
      <w:r>
        <w:rPr>
          <w:rFonts w:hint="default" w:ascii="Garamond" w:hAnsi="Garamond" w:cs="Garamond"/>
          <w:sz w:val="24"/>
          <w:szCs w:val="24"/>
          <w:lang w:val="id-ID"/>
        </w:rPr>
        <w:t>dan juga sosial.</w:t>
      </w:r>
      <w:r>
        <w:rPr>
          <w:rFonts w:hint="default" w:ascii="Garamond" w:hAnsi="Garamond" w:cs="Garamond"/>
          <w:sz w:val="24"/>
          <w:szCs w:val="24"/>
        </w:rPr>
        <w:t xml:space="preserve"> Dari aspek medis misalnya, prilaku</w:t>
      </w:r>
      <w:r>
        <w:rPr>
          <w:rFonts w:hint="default" w:ascii="Garamond" w:hAnsi="Garamond" w:cs="Garamond"/>
          <w:sz w:val="24"/>
          <w:szCs w:val="24"/>
          <w:lang w:val="id-ID"/>
        </w:rPr>
        <w:t xml:space="preserve"> homoseksual dapat menyebabkan gejala penyakit berupa tumor kulit berwarna ungu (</w:t>
      </w:r>
      <w:r>
        <w:rPr>
          <w:rFonts w:hint="default" w:ascii="Garamond" w:hAnsi="Garamond" w:cs="Garamond"/>
          <w:i/>
          <w:sz w:val="24"/>
          <w:szCs w:val="24"/>
          <w:lang w:val="id-ID"/>
        </w:rPr>
        <w:t xml:space="preserve">Sarcoma Kaposi). </w:t>
      </w:r>
      <w:r>
        <w:rPr>
          <w:rFonts w:hint="default" w:ascii="Garamond" w:hAnsi="Garamond" w:cs="Garamond"/>
          <w:sz w:val="24"/>
          <w:szCs w:val="24"/>
          <w:lang w:val="id-ID"/>
        </w:rPr>
        <w:t xml:space="preserve">Selain itu, ada gejala lain yang disebut </w:t>
      </w:r>
      <w:r>
        <w:rPr>
          <w:rFonts w:hint="default" w:ascii="Garamond" w:hAnsi="Garamond" w:cs="Garamond"/>
          <w:i/>
          <w:sz w:val="24"/>
          <w:szCs w:val="24"/>
          <w:lang w:val="id-ID"/>
        </w:rPr>
        <w:t xml:space="preserve">Gay Pneumonia. </w:t>
      </w:r>
      <w:r>
        <w:rPr>
          <w:rFonts w:hint="default" w:ascii="Garamond" w:hAnsi="Garamond" w:cs="Garamond"/>
          <w:sz w:val="24"/>
          <w:szCs w:val="24"/>
          <w:lang w:val="id-ID"/>
        </w:rPr>
        <w:t>Bahkan penyakit AIDS</w:t>
      </w:r>
      <w:r>
        <w:rPr>
          <w:rFonts w:hint="default" w:ascii="Garamond" w:hAnsi="Garamond" w:cs="Garamond"/>
          <w:sz w:val="24"/>
          <w:szCs w:val="24"/>
        </w:rPr>
        <w:t xml:space="preserve"> XE "</w:t>
      </w:r>
      <w:r>
        <w:rPr>
          <w:rFonts w:hint="default" w:ascii="Garamond" w:hAnsi="Garamond" w:cs="Garamond"/>
          <w:sz w:val="24"/>
          <w:szCs w:val="24"/>
          <w:lang w:val="id-ID"/>
        </w:rPr>
        <w:t>AIDS</w:t>
      </w:r>
      <w:r>
        <w:rPr>
          <w:rFonts w:hint="default" w:ascii="Garamond" w:hAnsi="Garamond" w:cs="Garamond"/>
          <w:sz w:val="24"/>
          <w:szCs w:val="24"/>
        </w:rPr>
        <w:t xml:space="preserve">" </w:t>
      </w:r>
      <w:r>
        <w:rPr>
          <w:rFonts w:hint="default" w:ascii="Garamond" w:hAnsi="Garamond" w:cs="Garamond"/>
          <w:sz w:val="24"/>
          <w:szCs w:val="24"/>
          <w:lang w:val="id-ID"/>
        </w:rPr>
        <w:t xml:space="preserve"> yang disebabkan oleh</w:t>
      </w:r>
      <w:r>
        <w:rPr>
          <w:rFonts w:hint="default" w:ascii="Garamond" w:hAnsi="Garamond" w:cs="Garamond"/>
          <w:i/>
          <w:sz w:val="24"/>
          <w:szCs w:val="24"/>
          <w:lang w:val="id-ID"/>
        </w:rPr>
        <w:t xml:space="preserve"> </w:t>
      </w:r>
      <w:r>
        <w:rPr>
          <w:rFonts w:hint="default" w:ascii="Garamond" w:hAnsi="Garamond" w:cs="Garamond"/>
          <w:sz w:val="24"/>
          <w:szCs w:val="24"/>
          <w:lang w:val="id-ID"/>
        </w:rPr>
        <w:t>virus HIV</w:t>
      </w:r>
      <w:r>
        <w:rPr>
          <w:rFonts w:hint="default" w:ascii="Garamond" w:hAnsi="Garamond" w:cs="Garamond"/>
          <w:i/>
          <w:sz w:val="24"/>
          <w:szCs w:val="24"/>
          <w:lang w:val="id-ID"/>
        </w:rPr>
        <w:t xml:space="preserve"> </w:t>
      </w:r>
      <w:r>
        <w:rPr>
          <w:rFonts w:hint="default" w:ascii="Garamond" w:hAnsi="Garamond" w:cs="Garamond"/>
          <w:sz w:val="24"/>
          <w:szCs w:val="24"/>
          <w:lang w:val="id-ID"/>
        </w:rPr>
        <w:t xml:space="preserve"> juga dianggap sebagai penyakit homoseksual.</w:t>
      </w:r>
      <w:r>
        <w:rPr>
          <w:rFonts w:hint="default" w:ascii="Garamond" w:hAnsi="Garamond" w:cs="Garamond"/>
          <w:sz w:val="24"/>
          <w:szCs w:val="24"/>
          <w:vertAlign w:val="superscript"/>
          <w:lang w:val="id-ID"/>
        </w:rPr>
        <w:footnoteReference w:id="39"/>
      </w:r>
      <w:r>
        <w:rPr>
          <w:rFonts w:hint="default" w:ascii="Garamond" w:hAnsi="Garamond" w:cs="Garamond"/>
          <w:sz w:val="24"/>
          <w:szCs w:val="24"/>
          <w:lang w:val="id-ID"/>
        </w:rPr>
        <w:t xml:space="preserve"> Selain</w:t>
      </w:r>
      <w:r>
        <w:rPr>
          <w:rFonts w:hint="default" w:ascii="Garamond" w:hAnsi="Garamond" w:cs="Garamond"/>
          <w:sz w:val="24"/>
          <w:szCs w:val="24"/>
        </w:rPr>
        <w:t xml:space="preserve"> virus HIV yang menyebabkan seseorang menderita AIDS, diantara komunitas homoseksual, penyakit-penyakit menular seksualpun sangat rentan tersebar. Pengidap Gonorrhea</w:t>
      </w:r>
      <w:r>
        <w:rPr>
          <w:rFonts w:hint="default" w:ascii="Garamond" w:hAnsi="Garamond" w:cs="Garamond"/>
          <w:sz w:val="24"/>
          <w:szCs w:val="24"/>
          <w:vertAlign w:val="superscript"/>
        </w:rPr>
        <w:footnoteReference w:id="40"/>
      </w:r>
      <w:r>
        <w:rPr>
          <w:rFonts w:hint="default" w:ascii="Garamond" w:hAnsi="Garamond" w:cs="Garamond"/>
          <w:sz w:val="24"/>
          <w:szCs w:val="24"/>
        </w:rPr>
        <w:t xml:space="preserve"> diantara kaum homoseksual meningkat sejak 1990, menyusul pula Sipilis, hepatitis C yang didapatkan dari hubungan seksual serta </w:t>
      </w:r>
      <w:r>
        <w:rPr>
          <w:rFonts w:hint="default" w:ascii="Garamond" w:hAnsi="Garamond" w:cs="Garamond"/>
          <w:i/>
          <w:sz w:val="24"/>
          <w:szCs w:val="24"/>
        </w:rPr>
        <w:t>lymphogranuloma venereum</w:t>
      </w:r>
      <w:r>
        <w:rPr>
          <w:rFonts w:hint="default" w:ascii="Garamond" w:hAnsi="Garamond" w:cs="Garamond"/>
          <w:sz w:val="24"/>
          <w:szCs w:val="24"/>
        </w:rPr>
        <w:t> yang biasanya menjadi penyakit ikutan bagi pria yang positif HIV.</w:t>
      </w:r>
      <w:r>
        <w:rPr>
          <w:rFonts w:hint="default" w:ascii="Garamond" w:hAnsi="Garamond" w:cs="Garamond"/>
          <w:sz w:val="24"/>
          <w:szCs w:val="24"/>
          <w:vertAlign w:val="superscript"/>
        </w:rPr>
        <w:footnoteReference w:id="41"/>
      </w:r>
      <w:r>
        <w:rPr>
          <w:rFonts w:hint="default" w:ascii="Garamond" w:hAnsi="Garamond" w:cs="Garamond"/>
          <w:sz w:val="24"/>
          <w:szCs w:val="24"/>
        </w:rPr>
        <w:t xml:space="preserve"> Pelbagai bentuk kemudaharatan yang timbulkan dari prilaku homoseksual di atas seharusnya menjadi konsideran besar Musdah Mulia atas pemikirannya yang cenderung mengabsahkan eksistensi homoseksual dengan dalih hal yang bersifat kodrati dan kemanusiaan, bahkan HAM. </w:t>
      </w:r>
      <w:r>
        <w:rPr>
          <w:rFonts w:hint="default" w:ascii="Garamond" w:hAnsi="Garamond" w:cs="Garamond"/>
          <w:sz w:val="24"/>
          <w:szCs w:val="24"/>
          <w:lang w:val="id-ID"/>
        </w:rPr>
        <w:t xml:space="preserve"> Berpijak dari uraian analisis pemikiran hukum Islam dari Mudah Mulia atas kebasahan </w:t>
      </w:r>
      <w:r>
        <w:rPr>
          <w:rFonts w:hint="default" w:ascii="Garamond" w:hAnsi="Garamond" w:cs="Garamond"/>
          <w:sz w:val="24"/>
          <w:szCs w:val="24"/>
          <w:lang w:val="en-US"/>
        </w:rPr>
        <w:t>homoseksual</w:t>
      </w:r>
      <w:r>
        <w:rPr>
          <w:rFonts w:hint="default" w:ascii="Garamond" w:hAnsi="Garamond" w:cs="Garamond"/>
          <w:sz w:val="24"/>
          <w:szCs w:val="24"/>
          <w:lang w:val="id-ID"/>
        </w:rPr>
        <w:t xml:space="preserve"> dapat dikatakan berpijak pada epistemologi pemikiran hukum Islam yang parsial dalam melihat pelbagai dampak dari prilaku homoseksual, terutama kompleksitas aspek kemadharatan yang dapat ditumbulkan dari prilaku homoseksual. </w:t>
      </w:r>
    </w:p>
    <w:p>
      <w:pPr>
        <w:spacing w:beforeLines="0" w:afterLines="0" w:line="360" w:lineRule="auto"/>
        <w:ind w:firstLine="720"/>
        <w:jc w:val="both"/>
        <w:rPr>
          <w:rFonts w:hint="default" w:ascii="Garamond" w:hAnsi="Garamond" w:cs="Garamond"/>
          <w:sz w:val="24"/>
          <w:szCs w:val="24"/>
        </w:rPr>
      </w:pPr>
      <w:r>
        <w:rPr>
          <w:rFonts w:hint="default" w:ascii="Garamond" w:hAnsi="Garamond" w:cs="Garamond"/>
          <w:sz w:val="24"/>
          <w:szCs w:val="24"/>
          <w:lang w:val="id-ID"/>
        </w:rPr>
        <w:t>Berbeda dengan</w:t>
      </w:r>
      <w:r>
        <w:rPr>
          <w:rFonts w:hint="default" w:ascii="Garamond" w:hAnsi="Garamond" w:cs="Garamond"/>
          <w:sz w:val="24"/>
          <w:szCs w:val="24"/>
          <w:lang w:val="en-US"/>
        </w:rPr>
        <w:t xml:space="preserve"> analisis atas</w:t>
      </w:r>
      <w:r>
        <w:rPr>
          <w:rFonts w:hint="default" w:ascii="Garamond" w:hAnsi="Garamond" w:cs="Garamond"/>
          <w:sz w:val="24"/>
          <w:szCs w:val="24"/>
          <w:lang w:val="id-ID"/>
        </w:rPr>
        <w:t xml:space="preserve"> pemikiran Musdah Mulia sebagaimana di atas,  penulis memandang bahwa pemikiran hukum Islam dari Huza</w:t>
      </w:r>
      <w:r>
        <w:rPr>
          <w:rFonts w:hint="default" w:ascii="Garamond" w:hAnsi="Garamond" w:cs="Garamond"/>
          <w:sz w:val="24"/>
          <w:szCs w:val="24"/>
          <w:lang w:val="en-US"/>
        </w:rPr>
        <w:t>e</w:t>
      </w:r>
      <w:r>
        <w:rPr>
          <w:rFonts w:hint="default" w:ascii="Garamond" w:hAnsi="Garamond" w:cs="Garamond"/>
          <w:sz w:val="24"/>
          <w:szCs w:val="24"/>
          <w:lang w:val="id-ID"/>
        </w:rPr>
        <w:t xml:space="preserve">mah Tahido Yanggo terkait larangan </w:t>
      </w:r>
      <w:r>
        <w:rPr>
          <w:rFonts w:hint="default" w:ascii="Garamond" w:hAnsi="Garamond" w:cs="Garamond"/>
          <w:sz w:val="24"/>
          <w:szCs w:val="24"/>
          <w:lang w:val="en-US"/>
        </w:rPr>
        <w:t xml:space="preserve">homoseksual </w:t>
      </w:r>
      <w:r>
        <w:rPr>
          <w:rFonts w:hint="default" w:ascii="Garamond" w:hAnsi="Garamond" w:cs="Garamond"/>
          <w:sz w:val="24"/>
          <w:szCs w:val="24"/>
          <w:lang w:val="id-ID"/>
        </w:rPr>
        <w:t xml:space="preserve">berpijak pada landasan epsitemologi hukum Islam yang komprehensif. </w:t>
      </w:r>
      <w:r>
        <w:rPr>
          <w:rFonts w:hint="default" w:ascii="Garamond" w:hAnsi="Garamond" w:cs="Garamond"/>
          <w:sz w:val="24"/>
          <w:szCs w:val="24"/>
        </w:rPr>
        <w:t xml:space="preserve">Hal demikian dapat dilihat dari landasan normatif teologis yang dibangunnya sekaligus sebagai bentuk kritik terhadap pemikiran liberal yang juga menjadikan landasan normatif teologis sebagai dasar kebasahan prilaku homoseksual. Sebagaimana pernyataan Huzaimah yang memandang bahwa pemikiran hukum Islam liberal terkait keabsahan prilaku </w:t>
      </w:r>
      <w:r>
        <w:rPr>
          <w:rFonts w:hint="default" w:ascii="Garamond" w:hAnsi="Garamond" w:cs="Garamond"/>
          <w:sz w:val="24"/>
          <w:szCs w:val="24"/>
          <w:lang w:val="en-US"/>
        </w:rPr>
        <w:t>homoseksual</w:t>
      </w:r>
      <w:r>
        <w:rPr>
          <w:rFonts w:hint="default" w:ascii="Garamond" w:hAnsi="Garamond" w:cs="Garamond"/>
          <w:sz w:val="24"/>
          <w:szCs w:val="24"/>
        </w:rPr>
        <w:t xml:space="preserve"> </w:t>
      </w:r>
      <w:r>
        <w:rPr>
          <w:rFonts w:hint="default" w:ascii="Garamond" w:hAnsi="Garamond" w:cs="Garamond"/>
          <w:sz w:val="24"/>
          <w:szCs w:val="24"/>
          <w:lang w:val="en"/>
        </w:rPr>
        <w:t xml:space="preserve">mencari legitimasi dalil </w:t>
      </w:r>
      <w:r>
        <w:rPr>
          <w:rFonts w:hint="default" w:ascii="Garamond" w:hAnsi="Garamond" w:cs="Garamond"/>
          <w:sz w:val="24"/>
          <w:szCs w:val="24"/>
        </w:rPr>
        <w:t>nas yang kemudian</w:t>
      </w:r>
      <w:r>
        <w:rPr>
          <w:rFonts w:hint="default" w:ascii="Garamond" w:hAnsi="Garamond" w:cs="Garamond"/>
          <w:sz w:val="24"/>
          <w:szCs w:val="24"/>
          <w:lang w:val="en"/>
        </w:rPr>
        <w:t xml:space="preserve"> </w:t>
      </w:r>
      <w:r>
        <w:rPr>
          <w:rFonts w:hint="default" w:ascii="Garamond" w:hAnsi="Garamond" w:cs="Garamond"/>
          <w:sz w:val="24"/>
          <w:szCs w:val="24"/>
        </w:rPr>
        <w:t>dip</w:t>
      </w:r>
      <w:r>
        <w:rPr>
          <w:rFonts w:hint="default" w:ascii="Garamond" w:hAnsi="Garamond" w:cs="Garamond"/>
          <w:sz w:val="24"/>
          <w:szCs w:val="24"/>
          <w:lang w:val="en"/>
        </w:rPr>
        <w:t xml:space="preserve">elintir maknanya dengan tidak melihat kepada ayat-ayat yang lain yang berkenaan dengan masalah </w:t>
      </w:r>
      <w:r>
        <w:rPr>
          <w:rFonts w:hint="default" w:ascii="Garamond" w:hAnsi="Garamond" w:cs="Garamond"/>
          <w:sz w:val="24"/>
          <w:szCs w:val="24"/>
        </w:rPr>
        <w:t xml:space="preserve">terkait.  Menurut Huzaimah, </w:t>
      </w:r>
      <w:r>
        <w:rPr>
          <w:rFonts w:hint="default" w:ascii="Garamond" w:hAnsi="Garamond" w:cs="Garamond"/>
          <w:sz w:val="24"/>
          <w:szCs w:val="24"/>
          <w:lang w:val="en"/>
        </w:rPr>
        <w:t xml:space="preserve">ayat-ayat </w:t>
      </w:r>
      <w:r>
        <w:rPr>
          <w:rFonts w:hint="default" w:ascii="Garamond" w:hAnsi="Garamond" w:cs="Garamond"/>
          <w:sz w:val="24"/>
          <w:szCs w:val="24"/>
        </w:rPr>
        <w:t>a</w:t>
      </w:r>
      <w:r>
        <w:rPr>
          <w:rFonts w:hint="default" w:ascii="Garamond" w:hAnsi="Garamond" w:cs="Garamond"/>
          <w:sz w:val="24"/>
          <w:szCs w:val="24"/>
          <w:lang w:val="en"/>
        </w:rPr>
        <w:t>l-Qur</w:t>
      </w:r>
      <w:r>
        <w:rPr>
          <w:rFonts w:hint="default" w:ascii="Garamond" w:hAnsi="Garamond" w:cs="Garamond"/>
          <w:sz w:val="24"/>
          <w:szCs w:val="24"/>
        </w:rPr>
        <w:t>’</w:t>
      </w:r>
      <w:r>
        <w:rPr>
          <w:rFonts w:hint="default" w:ascii="Garamond" w:hAnsi="Garamond" w:cs="Garamond"/>
          <w:sz w:val="24"/>
          <w:szCs w:val="24"/>
          <w:lang w:val="en"/>
        </w:rPr>
        <w:t xml:space="preserve">an </w:t>
      </w:r>
      <w:r>
        <w:rPr>
          <w:rFonts w:hint="default" w:ascii="Garamond" w:hAnsi="Garamond" w:cs="Garamond"/>
          <w:sz w:val="24"/>
          <w:szCs w:val="24"/>
        </w:rPr>
        <w:t>sejatinya memiliki korelasi dalam</w:t>
      </w:r>
      <w:r>
        <w:rPr>
          <w:rFonts w:hint="default" w:ascii="Garamond" w:hAnsi="Garamond" w:cs="Garamond"/>
          <w:sz w:val="24"/>
          <w:szCs w:val="24"/>
          <w:lang w:val="en"/>
        </w:rPr>
        <w:t xml:space="preserve"> menafsirkan </w:t>
      </w:r>
      <w:r>
        <w:rPr>
          <w:rFonts w:hint="default" w:ascii="Garamond" w:hAnsi="Garamond" w:cs="Garamond"/>
          <w:sz w:val="24"/>
          <w:szCs w:val="24"/>
        </w:rPr>
        <w:t xml:space="preserve">suatu masalah tertentu. Tindakan penyelewangan kaum intelektual muslim tersebut dalam pandangan Huzaimah </w:t>
      </w:r>
      <w:r>
        <w:rPr>
          <w:rFonts w:hint="default" w:ascii="Garamond" w:hAnsi="Garamond" w:cs="Garamond"/>
          <w:sz w:val="24"/>
          <w:szCs w:val="24"/>
          <w:lang w:val="en"/>
        </w:rPr>
        <w:t>disebabkan</w:t>
      </w:r>
      <w:r>
        <w:rPr>
          <w:rFonts w:hint="default" w:ascii="Garamond" w:hAnsi="Garamond" w:cs="Garamond"/>
          <w:sz w:val="24"/>
          <w:szCs w:val="24"/>
        </w:rPr>
        <w:t xml:space="preserve"> oleh minimnya </w:t>
      </w:r>
      <w:r>
        <w:rPr>
          <w:rFonts w:hint="default" w:ascii="Garamond" w:hAnsi="Garamond" w:cs="Garamond"/>
          <w:sz w:val="24"/>
          <w:szCs w:val="24"/>
          <w:lang w:val="en"/>
        </w:rPr>
        <w:t xml:space="preserve">ilmu </w:t>
      </w:r>
      <w:r>
        <w:rPr>
          <w:rFonts w:hint="default" w:ascii="Garamond" w:hAnsi="Garamond" w:cs="Garamond"/>
          <w:sz w:val="24"/>
          <w:szCs w:val="24"/>
        </w:rPr>
        <w:t xml:space="preserve">ke-Islaman, seperti </w:t>
      </w:r>
      <w:r>
        <w:rPr>
          <w:rFonts w:hint="default" w:ascii="Garamond" w:hAnsi="Garamond" w:cs="Garamond"/>
          <w:sz w:val="24"/>
          <w:szCs w:val="24"/>
          <w:lang w:val="en"/>
        </w:rPr>
        <w:t xml:space="preserve">belum banyak membaca tafsir dan Hadis, tidak </w:t>
      </w:r>
      <w:r>
        <w:rPr>
          <w:rFonts w:hint="default" w:ascii="Garamond" w:hAnsi="Garamond" w:cs="Garamond"/>
          <w:sz w:val="24"/>
          <w:szCs w:val="24"/>
        </w:rPr>
        <w:t>memahahami metodologi hukum Islam dengan baik dan lain sebagainya</w:t>
      </w:r>
      <w:r>
        <w:rPr>
          <w:rFonts w:hint="default" w:ascii="Garamond" w:hAnsi="Garamond" w:cs="Garamond"/>
          <w:sz w:val="24"/>
          <w:szCs w:val="24"/>
          <w:lang w:val="en"/>
        </w:rPr>
        <w:t>.</w:t>
      </w:r>
      <w:r>
        <w:rPr>
          <w:rFonts w:hint="default" w:ascii="Garamond" w:hAnsi="Garamond" w:cs="Garamond"/>
          <w:sz w:val="24"/>
          <w:szCs w:val="24"/>
          <w:vertAlign w:val="superscript"/>
          <w:lang w:val="en"/>
        </w:rPr>
        <w:footnoteReference w:id="42"/>
      </w:r>
      <w:r>
        <w:rPr>
          <w:rFonts w:hint="default" w:ascii="Garamond" w:hAnsi="Garamond" w:cs="Garamond"/>
          <w:sz w:val="24"/>
          <w:szCs w:val="24"/>
          <w:lang w:val="en"/>
        </w:rPr>
        <w:t xml:space="preserve"> </w:t>
      </w:r>
    </w:p>
    <w:p>
      <w:pPr>
        <w:spacing w:beforeLines="0" w:after="200" w:afterLines="0" w:line="360" w:lineRule="auto"/>
        <w:ind w:firstLine="720"/>
        <w:jc w:val="both"/>
        <w:rPr>
          <w:rFonts w:hint="default" w:ascii="Garamond" w:hAnsi="Garamond" w:cs="Garamond"/>
          <w:sz w:val="24"/>
          <w:szCs w:val="22"/>
          <w:rtl/>
          <w:lang w:val="ar-SA"/>
        </w:rPr>
      </w:pPr>
      <w:r>
        <w:rPr>
          <w:rFonts w:hint="default" w:ascii="Garamond" w:hAnsi="Garamond" w:cs="Garamond"/>
          <w:sz w:val="24"/>
          <w:szCs w:val="24"/>
        </w:rPr>
        <w:t>Kembali ke pemikiran Huza</w:t>
      </w:r>
      <w:r>
        <w:rPr>
          <w:rFonts w:hint="default" w:ascii="Garamond" w:hAnsi="Garamond" w:cs="Garamond"/>
          <w:sz w:val="24"/>
          <w:szCs w:val="24"/>
          <w:lang w:val="en-US"/>
        </w:rPr>
        <w:t>e</w:t>
      </w:r>
      <w:r>
        <w:rPr>
          <w:rFonts w:hint="default" w:ascii="Garamond" w:hAnsi="Garamond" w:cs="Garamond"/>
          <w:sz w:val="24"/>
          <w:szCs w:val="24"/>
        </w:rPr>
        <w:t>mah, penulis menilai bahwa selain menggunakan dasar normatif teologis atas larangan prilaku homoseksual juga menekankan pentingnya mempertimbangkan kompleksitas dampak negatif dari prilaku homoseksual. Huzaimah memberi warning keras bahwa prilaku homoseksual berdampak</w:t>
      </w:r>
      <w:r>
        <w:rPr>
          <w:rFonts w:hint="default" w:ascii="Garamond" w:hAnsi="Garamond" w:cs="Garamond"/>
          <w:sz w:val="24"/>
          <w:szCs w:val="22"/>
          <w:rtl/>
          <w:lang w:val="ar-SA"/>
        </w:rPr>
        <w:t xml:space="preserve"> resiko</w:t>
      </w:r>
      <w:r>
        <w:rPr>
          <w:rFonts w:hint="default" w:ascii="Garamond" w:hAnsi="Garamond" w:cs="Garamond"/>
          <w:sz w:val="24"/>
          <w:szCs w:val="24"/>
        </w:rPr>
        <w:t xml:space="preserve"> besar bagi keselamatan jiwa manusia</w:t>
      </w:r>
      <w:r>
        <w:rPr>
          <w:rFonts w:hint="default" w:ascii="Garamond" w:hAnsi="Garamond" w:cs="Garamond"/>
          <w:sz w:val="24"/>
          <w:szCs w:val="22"/>
          <w:rtl/>
          <w:lang w:val="ar-SA"/>
        </w:rPr>
        <w:t>, yaitu dapat menimbulkan penyakit kanker kelamin HIV/AIDS, spilis, dan lai</w:t>
      </w:r>
      <w:r>
        <w:rPr>
          <w:rFonts w:hint="default" w:ascii="Garamond" w:hAnsi="Garamond" w:cs="Garamond"/>
          <w:sz w:val="24"/>
          <w:szCs w:val="24"/>
        </w:rPr>
        <w:t>n sebagainya</w:t>
      </w:r>
      <w:r>
        <w:rPr>
          <w:rFonts w:hint="default" w:ascii="Garamond" w:hAnsi="Garamond" w:cs="Garamond"/>
          <w:sz w:val="24"/>
          <w:szCs w:val="22"/>
          <w:rtl/>
          <w:lang w:val="ar-SA"/>
        </w:rPr>
        <w:t xml:space="preserve">. </w:t>
      </w:r>
      <w:r>
        <w:rPr>
          <w:rFonts w:hint="default" w:ascii="Garamond" w:hAnsi="Garamond" w:cs="Garamond"/>
          <w:sz w:val="24"/>
          <w:szCs w:val="24"/>
        </w:rPr>
        <w:t xml:space="preserve">Tidak hanya itu, prilaku homoseksual </w:t>
      </w:r>
      <w:r>
        <w:rPr>
          <w:rFonts w:hint="default" w:ascii="Garamond" w:hAnsi="Garamond" w:cs="Garamond"/>
          <w:sz w:val="24"/>
          <w:szCs w:val="22"/>
          <w:rtl/>
          <w:lang w:val="ar-SA"/>
        </w:rPr>
        <w:t>bertentangan dengan</w:t>
      </w:r>
      <w:r>
        <w:rPr>
          <w:rFonts w:hint="default" w:ascii="Garamond" w:hAnsi="Garamond" w:cs="Garamond"/>
          <w:sz w:val="24"/>
          <w:szCs w:val="24"/>
        </w:rPr>
        <w:t xml:space="preserve"> </w:t>
      </w:r>
      <w:r>
        <w:rPr>
          <w:rFonts w:hint="default" w:ascii="Garamond" w:hAnsi="Garamond" w:cs="Garamond"/>
          <w:sz w:val="24"/>
          <w:szCs w:val="22"/>
          <w:rtl/>
          <w:lang w:val="ar-SA"/>
        </w:rPr>
        <w:t xml:space="preserve"> </w:t>
      </w:r>
      <w:r>
        <w:rPr>
          <w:rFonts w:hint="default" w:ascii="Garamond" w:hAnsi="Garamond" w:cs="Garamond"/>
          <w:sz w:val="24"/>
          <w:szCs w:val="24"/>
        </w:rPr>
        <w:t xml:space="preserve">ideologi </w:t>
      </w:r>
      <w:r>
        <w:rPr>
          <w:rFonts w:hint="default" w:ascii="Garamond" w:hAnsi="Garamond" w:cs="Garamond"/>
          <w:sz w:val="24"/>
          <w:szCs w:val="22"/>
          <w:rtl/>
          <w:lang w:val="ar-SA"/>
        </w:rPr>
        <w:t>Pancasila</w:t>
      </w:r>
      <w:r>
        <w:rPr>
          <w:rFonts w:hint="default" w:ascii="Garamond" w:hAnsi="Garamond" w:cs="Garamond"/>
          <w:sz w:val="24"/>
          <w:szCs w:val="24"/>
        </w:rPr>
        <w:t xml:space="preserve">, </w:t>
      </w:r>
      <w:r>
        <w:rPr>
          <w:rFonts w:hint="default" w:ascii="Garamond" w:hAnsi="Garamond" w:cs="Garamond"/>
          <w:sz w:val="24"/>
          <w:szCs w:val="22"/>
          <w:rtl/>
          <w:lang w:val="ar-SA"/>
        </w:rPr>
        <w:t>UUD 1945</w:t>
      </w:r>
      <w:r>
        <w:rPr>
          <w:rFonts w:hint="default" w:ascii="Garamond" w:hAnsi="Garamond" w:cs="Garamond"/>
          <w:sz w:val="24"/>
          <w:szCs w:val="24"/>
        </w:rPr>
        <w:t xml:space="preserve">. </w:t>
      </w:r>
      <w:r>
        <w:rPr>
          <w:rFonts w:hint="default" w:ascii="Garamond" w:hAnsi="Garamond" w:cs="Garamond"/>
          <w:sz w:val="24"/>
          <w:szCs w:val="22"/>
          <w:rtl/>
          <w:lang w:val="ar-SA"/>
        </w:rPr>
        <w:t xml:space="preserve">Undang-undang No. I Tahun 1974 tentang perkawinan serta </w:t>
      </w:r>
      <w:r>
        <w:rPr>
          <w:rFonts w:hint="default" w:ascii="Garamond" w:hAnsi="Garamond" w:cs="Garamond"/>
          <w:sz w:val="24"/>
          <w:szCs w:val="24"/>
        </w:rPr>
        <w:t>Kompilasi Hukum Islam (</w:t>
      </w:r>
      <w:r>
        <w:rPr>
          <w:rFonts w:hint="default" w:ascii="Garamond" w:hAnsi="Garamond" w:cs="Garamond"/>
          <w:sz w:val="24"/>
          <w:szCs w:val="22"/>
          <w:rtl/>
          <w:lang w:val="ar-SA"/>
        </w:rPr>
        <w:t>KHI</w:t>
      </w:r>
      <w:r>
        <w:rPr>
          <w:rFonts w:hint="default" w:ascii="Garamond" w:hAnsi="Garamond" w:cs="Garamond"/>
          <w:sz w:val="24"/>
          <w:szCs w:val="24"/>
        </w:rPr>
        <w:t>)</w:t>
      </w:r>
      <w:r>
        <w:rPr>
          <w:rFonts w:hint="default" w:ascii="Garamond" w:hAnsi="Garamond" w:cs="Garamond"/>
          <w:sz w:val="24"/>
          <w:szCs w:val="22"/>
          <w:rtl/>
          <w:lang w:val="ar-SA"/>
        </w:rPr>
        <w:t xml:space="preserve"> bidang perkawinan, yang men</w:t>
      </w:r>
      <w:r>
        <w:rPr>
          <w:rFonts w:hint="default" w:ascii="Garamond" w:hAnsi="Garamond" w:cs="Garamond"/>
          <w:sz w:val="24"/>
          <w:szCs w:val="24"/>
        </w:rPr>
        <w:t>yatakan bahwa pernikahan hanya dapat dilakukan oleh laki-laki dan perempuan</w:t>
      </w:r>
      <w:r>
        <w:rPr>
          <w:rFonts w:hint="default" w:ascii="Garamond" w:hAnsi="Garamond" w:cs="Garamond"/>
          <w:sz w:val="24"/>
          <w:szCs w:val="22"/>
          <w:rtl/>
          <w:lang w:val="ar-SA"/>
        </w:rPr>
        <w:t>.</w:t>
      </w:r>
      <w:r>
        <w:rPr>
          <w:rFonts w:hint="default" w:ascii="Garamond" w:hAnsi="Garamond" w:cs="Garamond"/>
          <w:sz w:val="24"/>
          <w:szCs w:val="24"/>
          <w:vertAlign w:val="superscript"/>
          <w:lang w:val="ar-SA"/>
        </w:rPr>
        <w:footnoteReference w:id="43"/>
      </w:r>
      <w:r>
        <w:rPr>
          <w:rFonts w:hint="default" w:ascii="Garamond" w:hAnsi="Garamond" w:cs="Garamond"/>
          <w:sz w:val="24"/>
          <w:szCs w:val="22"/>
          <w:rtl/>
          <w:lang w:val="ar-SA"/>
        </w:rPr>
        <w:t xml:space="preserve"> </w:t>
      </w:r>
      <w:r>
        <w:rPr>
          <w:rFonts w:hint="default" w:ascii="Garamond" w:hAnsi="Garamond" w:cs="Garamond"/>
          <w:sz w:val="24"/>
          <w:szCs w:val="24"/>
        </w:rPr>
        <w:t xml:space="preserve">Konsideran yuridis-konstitusional yang dilontarkan Huzaimah tersebut tidak berlebihan. Mengingat </w:t>
      </w:r>
      <w:r>
        <w:rPr>
          <w:rFonts w:hint="default" w:ascii="Garamond" w:hAnsi="Garamond" w:cs="Garamond"/>
          <w:sz w:val="24"/>
          <w:szCs w:val="24"/>
          <w:lang w:val="zh-CN" w:eastAsia="zh-CN"/>
        </w:rPr>
        <w:t>kehid</w:t>
      </w:r>
      <w:r>
        <w:rPr>
          <w:rFonts w:hint="default" w:ascii="Garamond" w:hAnsi="Garamond" w:cs="Garamond"/>
          <w:sz w:val="24"/>
          <w:szCs w:val="24"/>
          <w:lang w:eastAsia="zh-CN"/>
        </w:rPr>
        <w:t>u</w:t>
      </w:r>
      <w:r>
        <w:rPr>
          <w:rFonts w:hint="default" w:ascii="Garamond" w:hAnsi="Garamond" w:cs="Garamond"/>
          <w:sz w:val="24"/>
          <w:szCs w:val="24"/>
          <w:lang w:val="zh-CN" w:eastAsia="zh-CN"/>
        </w:rPr>
        <w:t xml:space="preserve">pan masyarakat Indonesia memiliki pedoman nilai sosial yang luhur </w:t>
      </w:r>
      <w:r>
        <w:rPr>
          <w:rFonts w:hint="default" w:ascii="Garamond" w:hAnsi="Garamond" w:cs="Garamond"/>
          <w:sz w:val="24"/>
          <w:szCs w:val="24"/>
          <w:lang w:eastAsia="zh-CN"/>
        </w:rPr>
        <w:t xml:space="preserve">yang termaktub dalam </w:t>
      </w:r>
      <w:r>
        <w:rPr>
          <w:rFonts w:hint="default" w:ascii="Garamond" w:hAnsi="Garamond" w:cs="Garamond"/>
          <w:sz w:val="24"/>
          <w:szCs w:val="24"/>
          <w:lang w:val="zh-CN" w:eastAsia="zh-CN"/>
        </w:rPr>
        <w:t xml:space="preserve"> Pancasila </w:t>
      </w:r>
      <w:r>
        <w:rPr>
          <w:rFonts w:hint="default" w:ascii="Garamond" w:hAnsi="Garamond" w:cs="Garamond"/>
          <w:sz w:val="24"/>
          <w:szCs w:val="24"/>
          <w:lang w:eastAsia="zh-CN"/>
        </w:rPr>
        <w:t>sebagai ideologi dalam</w:t>
      </w:r>
      <w:r>
        <w:rPr>
          <w:rFonts w:hint="default" w:ascii="Garamond" w:hAnsi="Garamond" w:cs="Garamond"/>
          <w:sz w:val="24"/>
          <w:szCs w:val="24"/>
          <w:lang w:val="zh-CN" w:eastAsia="zh-CN"/>
        </w:rPr>
        <w:t xml:space="preserve"> kehidupan </w:t>
      </w:r>
      <w:r>
        <w:rPr>
          <w:rFonts w:hint="default" w:ascii="Garamond" w:hAnsi="Garamond" w:cs="Garamond"/>
          <w:sz w:val="24"/>
          <w:szCs w:val="24"/>
          <w:lang w:eastAsia="zh-CN"/>
        </w:rPr>
        <w:t xml:space="preserve">bermasyarakat dan </w:t>
      </w:r>
      <w:r>
        <w:rPr>
          <w:rFonts w:hint="default" w:ascii="Garamond" w:hAnsi="Garamond" w:cs="Garamond"/>
          <w:sz w:val="24"/>
          <w:szCs w:val="24"/>
          <w:lang w:val="zh-CN" w:eastAsia="zh-CN"/>
        </w:rPr>
        <w:t>bernegara.</w:t>
      </w:r>
      <w:r>
        <w:rPr>
          <w:rStyle w:val="11"/>
          <w:rFonts w:hint="default" w:ascii="Garamond" w:hAnsi="Garamond" w:eastAsia="SimSun" w:cs="Garamond"/>
          <w:sz w:val="24"/>
          <w:szCs w:val="24"/>
          <w:lang w:val="zh-CN" w:eastAsia="zh-CN"/>
        </w:rPr>
        <w:footnoteReference w:id="44"/>
      </w:r>
      <w:r>
        <w:rPr>
          <w:rFonts w:hint="default" w:ascii="Garamond" w:hAnsi="Garamond" w:cs="Garamond"/>
          <w:sz w:val="24"/>
          <w:szCs w:val="24"/>
          <w:lang w:eastAsia="zh-CN"/>
        </w:rPr>
        <w:t xml:space="preserve"> Bahkan keberadaan nilai-nilai Pancasila tersebut bukan sekedar sebagai pedoman nilai sosial, melainkan</w:t>
      </w:r>
      <w:r>
        <w:rPr>
          <w:rFonts w:hint="default" w:ascii="Garamond" w:hAnsi="Garamond" w:cs="Garamond"/>
          <w:sz w:val="24"/>
          <w:szCs w:val="24"/>
        </w:rPr>
        <w:t xml:space="preserve"> juga menjadi bagian sekaligus cita dari segala sumber hukum yang berlaku di Indonesia.</w:t>
      </w:r>
      <w:r>
        <w:rPr>
          <w:rFonts w:hint="default" w:ascii="Garamond" w:hAnsi="Garamond" w:eastAsia="SimSun" w:cs="Garamond"/>
          <w:sz w:val="24"/>
          <w:szCs w:val="24"/>
          <w:vertAlign w:val="superscript"/>
        </w:rPr>
        <w:footnoteReference w:id="45"/>
      </w:r>
    </w:p>
    <w:p>
      <w:pPr>
        <w:spacing w:beforeLines="0" w:after="200" w:afterLines="0" w:line="360" w:lineRule="auto"/>
        <w:ind w:firstLine="720"/>
        <w:jc w:val="both"/>
        <w:rPr>
          <w:rFonts w:hint="default" w:ascii="Garamond" w:hAnsi="Garamond" w:cs="Garamond"/>
          <w:sz w:val="24"/>
          <w:szCs w:val="24"/>
          <w:lang w:val="id-ID"/>
        </w:rPr>
      </w:pPr>
      <w:r>
        <w:rPr>
          <w:rFonts w:hint="default" w:ascii="Garamond" w:hAnsi="Garamond" w:cs="Garamond"/>
          <w:sz w:val="24"/>
          <w:szCs w:val="24"/>
        </w:rPr>
        <w:t xml:space="preserve">Jika ditinjau dalam perspektif kaidah fikih, maka pertimbangan preventif dengan pertimbangan berbagai sudut pandang tersebut paralel dengan klaidah fikih turunan dari kaidah al-dhororu yuzal (kemadharatan harus dihilangkan) yang berbunyi </w:t>
      </w:r>
      <w:r>
        <w:rPr>
          <w:rFonts w:hint="default" w:ascii="Garamond" w:hAnsi="Garamond" w:cs="Garamond"/>
          <w:sz w:val="24"/>
          <w:szCs w:val="24"/>
          <w:lang w:val="id-ID"/>
        </w:rPr>
        <w:t>“</w:t>
      </w:r>
      <w:r>
        <w:rPr>
          <w:rFonts w:hint="default" w:ascii="Garamond" w:hAnsi="Garamond" w:cs="Garamond"/>
          <w:i/>
          <w:sz w:val="24"/>
          <w:szCs w:val="24"/>
          <w:lang w:val="id-ID"/>
        </w:rPr>
        <w:t>Dar’u al-mafasid muqaddam ‘ala jalbi al-Masalih</w:t>
      </w:r>
      <w:r>
        <w:rPr>
          <w:rFonts w:hint="default" w:ascii="Garamond" w:hAnsi="Garamond" w:cs="Garamond"/>
          <w:i/>
          <w:sz w:val="24"/>
          <w:szCs w:val="24"/>
        </w:rPr>
        <w:t>”</w:t>
      </w:r>
      <w:r>
        <w:rPr>
          <w:rFonts w:hint="default" w:ascii="Garamond" w:hAnsi="Garamond" w:cs="Garamond"/>
          <w:sz w:val="24"/>
          <w:szCs w:val="24"/>
        </w:rPr>
        <w:t xml:space="preserve"> yang artinya </w:t>
      </w:r>
      <w:r>
        <w:rPr>
          <w:rFonts w:hint="default" w:ascii="Garamond" w:hAnsi="Garamond" w:cs="Garamond"/>
          <w:sz w:val="24"/>
          <w:szCs w:val="24"/>
          <w:lang w:val="id-ID"/>
        </w:rPr>
        <w:t>menghindari kerusakan lebih diutamakan dari mengambil kemaslahatan). Kaidah ini menunjukkan bahwa kerusakan harus dihindari oleh setiap manusia, meskipun didalamnya ada kemaslahatan. Dalam masalah larangan ini, Imam Izzuddin Abdussalam menyatakan bahwa setiap larangan mengandung kerusakan di dunia dan di akhirat atau di salah satunya. Dan sebaliknya, setiap perintah mengandung kemaslahatan di dunia dan di akhirat atau di salah satunya.</w:t>
      </w:r>
      <w:r>
        <w:rPr>
          <w:rFonts w:hint="default" w:ascii="Garamond" w:hAnsi="Garamond" w:cs="Garamond"/>
          <w:sz w:val="24"/>
          <w:szCs w:val="24"/>
          <w:vertAlign w:val="superscript"/>
          <w:lang w:val="id-ID"/>
        </w:rPr>
        <w:footnoteReference w:id="46"/>
      </w:r>
    </w:p>
    <w:p>
      <w:pPr>
        <w:spacing w:beforeLines="0" w:afterLines="0" w:line="360" w:lineRule="auto"/>
        <w:ind w:firstLine="720"/>
        <w:jc w:val="both"/>
        <w:rPr>
          <w:rFonts w:hint="default" w:ascii="Garamond" w:hAnsi="Garamond" w:cs="Garamond"/>
          <w:color w:val="000000"/>
          <w:sz w:val="24"/>
          <w:szCs w:val="24"/>
          <w:lang w:val="id-ID"/>
        </w:rPr>
      </w:pPr>
      <w:r>
        <w:rPr>
          <w:rFonts w:hint="default" w:ascii="Garamond" w:hAnsi="Garamond" w:cs="Garamond"/>
          <w:sz w:val="24"/>
          <w:szCs w:val="24"/>
          <w:lang w:val="id-ID"/>
        </w:rPr>
        <w:t>Pemikiran hukum Islam Huza</w:t>
      </w:r>
      <w:r>
        <w:rPr>
          <w:rFonts w:hint="default" w:ascii="Garamond" w:hAnsi="Garamond" w:cs="Garamond"/>
          <w:sz w:val="24"/>
          <w:szCs w:val="24"/>
          <w:lang w:val="en-US"/>
        </w:rPr>
        <w:t>e</w:t>
      </w:r>
      <w:r>
        <w:rPr>
          <w:rFonts w:hint="default" w:ascii="Garamond" w:hAnsi="Garamond" w:cs="Garamond"/>
          <w:sz w:val="24"/>
          <w:szCs w:val="24"/>
          <w:lang w:val="id-ID"/>
        </w:rPr>
        <w:t xml:space="preserve">mah yang melarang keras tindakan homoseksual juga sejalan dengan berbagai tujuan pensyariatan hukum Islam (maqasid syariah), yakni antara lain </w:t>
      </w:r>
      <w:r>
        <w:rPr>
          <w:rFonts w:hint="default" w:ascii="Garamond" w:hAnsi="Garamond" w:cs="Garamond"/>
          <w:sz w:val="24"/>
          <w:szCs w:val="24"/>
          <w:shd w:val="clear" w:color="auto" w:fill="FFFFFF"/>
          <w:lang w:val="id-ID"/>
        </w:rPr>
        <w:t xml:space="preserve"> tujuan shari’at  menjaga keberlangsungan keturunan manusia (</w:t>
      </w:r>
      <w:r>
        <w:rPr>
          <w:rFonts w:hint="default" w:ascii="Garamond" w:hAnsi="Garamond" w:cs="Garamond"/>
          <w:i/>
          <w:sz w:val="24"/>
          <w:szCs w:val="24"/>
          <w:shd w:val="clear" w:color="auto" w:fill="FFFFFF"/>
          <w:lang w:val="id-ID"/>
        </w:rPr>
        <w:t>hifẓ al-nasl</w:t>
      </w:r>
      <w:r>
        <w:rPr>
          <w:rFonts w:hint="default" w:ascii="Garamond" w:hAnsi="Garamond" w:cs="Garamond"/>
          <w:sz w:val="24"/>
          <w:szCs w:val="24"/>
          <w:shd w:val="clear" w:color="auto" w:fill="FFFFFF"/>
          <w:lang w:val="id-ID"/>
        </w:rPr>
        <w:t>) dan menjaga keselamatan jiwa manusia (</w:t>
      </w:r>
      <w:r>
        <w:rPr>
          <w:rFonts w:hint="default" w:ascii="Garamond" w:hAnsi="Garamond" w:cs="Garamond"/>
          <w:i/>
          <w:sz w:val="24"/>
          <w:szCs w:val="24"/>
          <w:shd w:val="clear" w:color="auto" w:fill="FFFFFF"/>
          <w:lang w:val="id-ID"/>
        </w:rPr>
        <w:t>hifz al-nafs</w:t>
      </w:r>
      <w:r>
        <w:rPr>
          <w:rFonts w:hint="default" w:ascii="Garamond" w:hAnsi="Garamond" w:cs="Garamond"/>
          <w:sz w:val="24"/>
          <w:szCs w:val="24"/>
          <w:shd w:val="clear" w:color="auto" w:fill="FFFFFF"/>
          <w:lang w:val="id-ID"/>
        </w:rPr>
        <w:t>).</w:t>
      </w:r>
      <w:r>
        <w:rPr>
          <w:rFonts w:hint="default" w:ascii="Garamond" w:hAnsi="Garamond" w:cs="Garamond"/>
          <w:sz w:val="24"/>
          <w:szCs w:val="24"/>
          <w:shd w:val="clear" w:color="auto" w:fill="FFFFFF"/>
          <w:vertAlign w:val="superscript"/>
        </w:rPr>
        <w:footnoteReference w:id="47"/>
      </w:r>
      <w:r>
        <w:rPr>
          <w:rFonts w:hint="default" w:ascii="Garamond" w:hAnsi="Garamond" w:cs="Garamond"/>
          <w:sz w:val="24"/>
          <w:szCs w:val="24"/>
          <w:shd w:val="clear" w:color="auto" w:fill="FFFFFF"/>
          <w:lang w:val="id-ID"/>
        </w:rPr>
        <w:t> Oleh karena itu, perbuataan-perbuatan yang mengancam kedua hal tersebut menjadi tindakan-tindakan terlarang dalam shari’at dan jika tidak mengindahkannya maka dikenai hukuman. Dalam</w:t>
      </w:r>
      <w:r>
        <w:rPr>
          <w:rFonts w:hint="default" w:ascii="Garamond" w:hAnsi="Garamond" w:cs="Garamond"/>
          <w:sz w:val="24"/>
          <w:szCs w:val="24"/>
          <w:lang w:val="id-ID"/>
        </w:rPr>
        <w:t xml:space="preserve"> "</w:t>
      </w:r>
      <w:r>
        <w:rPr>
          <w:rFonts w:hint="default" w:ascii="Garamond" w:hAnsi="Garamond" w:cs="Garamond"/>
          <w:i/>
          <w:sz w:val="24"/>
          <w:szCs w:val="24"/>
          <w:shd w:val="clear" w:color="auto" w:fill="FFFFFF"/>
          <w:lang w:val="id-ID"/>
        </w:rPr>
        <w:t>hifz al-nasl</w:t>
      </w:r>
      <w:r>
        <w:rPr>
          <w:rFonts w:hint="default" w:ascii="Garamond" w:hAnsi="Garamond" w:cs="Garamond"/>
          <w:sz w:val="24"/>
          <w:szCs w:val="24"/>
          <w:lang w:val="id-ID"/>
        </w:rPr>
        <w:t xml:space="preserve">" </w:t>
      </w:r>
      <w:r>
        <w:rPr>
          <w:rFonts w:hint="default" w:ascii="Garamond" w:hAnsi="Garamond" w:cs="Garamond"/>
          <w:sz w:val="24"/>
          <w:szCs w:val="24"/>
          <w:shd w:val="clear" w:color="auto" w:fill="FFFFFF"/>
          <w:lang w:val="id-ID"/>
        </w:rPr>
        <w:t>, dapat dipastikan bahwa pernikahan sesama jenis tidak akan dapat menghasilkan keturunan sama sekali karena Allah Swt. menciptakan keturunan hanya melalui hubungan antara seorang laki-laki dan wanita (</w:t>
      </w:r>
      <w:r>
        <w:rPr>
          <w:rFonts w:hint="default" w:ascii="Garamond" w:hAnsi="Garamond" w:cs="Garamond"/>
          <w:color w:val="000000"/>
          <w:sz w:val="24"/>
          <w:szCs w:val="24"/>
          <w:lang w:val="id-ID"/>
        </w:rPr>
        <w:t>Q.S. Al-Nahl ayat 72).</w:t>
      </w:r>
      <w:r>
        <w:rPr>
          <w:rFonts w:hint="default" w:ascii="Garamond" w:hAnsi="Garamond" w:cs="Garamond"/>
          <w:sz w:val="24"/>
          <w:szCs w:val="24"/>
          <w:lang w:val="id-ID"/>
        </w:rPr>
        <w:t xml:space="preserve">Berdasarkan hal ini, illat diperintahkannya menikah adalah untuk memperoleh keturunan yang sah sesuai dengan shari’at untuk menjaga kemuliaan manusia. </w:t>
      </w:r>
      <w:r>
        <w:rPr>
          <w:rFonts w:hint="default" w:ascii="Garamond" w:hAnsi="Garamond" w:cs="Garamond"/>
          <w:sz w:val="24"/>
          <w:szCs w:val="24"/>
          <w:shd w:val="clear" w:color="auto" w:fill="FFFFFF"/>
          <w:lang w:val="id-ID"/>
        </w:rPr>
        <w:t xml:space="preserve">Sementara itu, dalam </w:t>
      </w:r>
      <w:r>
        <w:rPr>
          <w:rFonts w:hint="default" w:ascii="Garamond" w:hAnsi="Garamond" w:cs="Garamond"/>
          <w:i/>
          <w:sz w:val="24"/>
          <w:szCs w:val="24"/>
          <w:shd w:val="clear" w:color="auto" w:fill="FFFFFF"/>
          <w:lang w:val="id-ID"/>
        </w:rPr>
        <w:t>hifz al-nafs</w:t>
      </w:r>
      <w:r>
        <w:rPr>
          <w:rFonts w:hint="default" w:ascii="Garamond" w:hAnsi="Garamond" w:cs="Garamond"/>
          <w:sz w:val="24"/>
          <w:szCs w:val="24"/>
          <w:shd w:val="clear" w:color="auto" w:fill="FFFFFF"/>
          <w:lang w:val="id-ID"/>
        </w:rPr>
        <w:t>, telah dibahas dalam pembahasan homoseksual bahwa perilaku homoseksual lebih rentan terhadap berbagai penyakit kelamin, seperti HIV-AIDS</w:t>
      </w:r>
      <w:r>
        <w:rPr>
          <w:rFonts w:hint="default" w:ascii="Garamond" w:hAnsi="Garamond" w:cs="Garamond"/>
          <w:sz w:val="24"/>
          <w:szCs w:val="24"/>
          <w:lang w:val="id-ID"/>
        </w:rPr>
        <w:t xml:space="preserve"> "AIDS" </w:t>
      </w:r>
      <w:r>
        <w:rPr>
          <w:rFonts w:hint="default" w:ascii="Garamond" w:hAnsi="Garamond" w:cs="Garamond"/>
          <w:sz w:val="24"/>
          <w:szCs w:val="24"/>
          <w:shd w:val="clear" w:color="auto" w:fill="FFFFFF"/>
          <w:lang w:val="id-ID"/>
        </w:rPr>
        <w:t xml:space="preserve"> </w:t>
      </w:r>
      <w:r>
        <w:rPr>
          <w:rFonts w:hint="default" w:ascii="Garamond" w:hAnsi="Garamond" w:cs="Garamond"/>
          <w:sz w:val="24"/>
          <w:szCs w:val="24"/>
          <w:lang w:val="id-ID"/>
        </w:rPr>
        <w:t xml:space="preserve">Gonorrhea, Sipilis, dan hepatitis. </w:t>
      </w:r>
    </w:p>
    <w:p>
      <w:pPr>
        <w:spacing w:beforeLines="0" w:afterLines="0" w:line="360" w:lineRule="auto"/>
        <w:ind w:firstLine="720" w:firstLineChars="0"/>
        <w:jc w:val="both"/>
        <w:rPr>
          <w:rFonts w:hint="default" w:ascii="Garamond" w:hAnsi="Garamond" w:cs="Garamond"/>
          <w:sz w:val="24"/>
          <w:szCs w:val="24"/>
        </w:rPr>
      </w:pPr>
      <w:r>
        <w:rPr>
          <w:rFonts w:hint="default" w:ascii="Garamond" w:hAnsi="Garamond" w:cs="Garamond"/>
          <w:sz w:val="24"/>
          <w:szCs w:val="24"/>
          <w:lang w:val="id-ID"/>
        </w:rPr>
        <w:t>Sebagai tambahan penting disadari bahwa Huza</w:t>
      </w:r>
      <w:r>
        <w:rPr>
          <w:rFonts w:hint="default" w:ascii="Garamond" w:hAnsi="Garamond" w:cs="Garamond"/>
          <w:sz w:val="24"/>
          <w:szCs w:val="24"/>
          <w:lang w:val="en-US"/>
        </w:rPr>
        <w:t>e</w:t>
      </w:r>
      <w:r>
        <w:rPr>
          <w:rFonts w:hint="default" w:ascii="Garamond" w:hAnsi="Garamond" w:cs="Garamond"/>
          <w:sz w:val="24"/>
          <w:szCs w:val="24"/>
          <w:lang w:val="id-ID"/>
        </w:rPr>
        <w:t xml:space="preserve">mah tidak hanya memberikan penjelasan dasar hukum Islam atas haramanya prilaku homoseksual, akan tetapi ia juga memberikan berbagai langkah konkrit bagi masyarakat agar terhindar dari prilaku homoseksual sebagaimana yang dilakukan oleh kaum </w:t>
      </w:r>
      <w:r>
        <w:rPr>
          <w:rFonts w:hint="default" w:ascii="Garamond" w:hAnsi="Garamond" w:cs="Garamond"/>
          <w:sz w:val="24"/>
          <w:szCs w:val="24"/>
          <w:lang w:val="en-US"/>
        </w:rPr>
        <w:t>homoseksual</w:t>
      </w:r>
      <w:r>
        <w:rPr>
          <w:rFonts w:hint="default" w:ascii="Garamond" w:hAnsi="Garamond" w:cs="Garamond"/>
          <w:sz w:val="24"/>
          <w:szCs w:val="24"/>
          <w:lang w:val="id-ID"/>
        </w:rPr>
        <w:t xml:space="preserve">, antara lain. </w:t>
      </w:r>
      <w:r>
        <w:rPr>
          <w:rFonts w:hint="default" w:ascii="Garamond" w:hAnsi="Garamond" w:cs="Garamond"/>
          <w:sz w:val="24"/>
          <w:szCs w:val="22"/>
          <w:rtl/>
          <w:lang w:val="ar-SA"/>
        </w:rPr>
        <w:t xml:space="preserve">Pertama, </w:t>
      </w:r>
      <w:r>
        <w:rPr>
          <w:rFonts w:hint="default" w:ascii="Garamond" w:hAnsi="Garamond" w:cs="Garamond"/>
          <w:sz w:val="24"/>
          <w:szCs w:val="24"/>
        </w:rPr>
        <w:t xml:space="preserve">menghindarkan pellbagai </w:t>
      </w:r>
      <w:r>
        <w:rPr>
          <w:rFonts w:hint="default" w:ascii="Garamond" w:hAnsi="Garamond" w:cs="Garamond"/>
          <w:sz w:val="24"/>
          <w:szCs w:val="22"/>
          <w:rtl/>
          <w:lang w:val="ar-SA"/>
        </w:rPr>
        <w:t>hal-</w:t>
      </w:r>
      <w:r>
        <w:rPr>
          <w:rFonts w:hint="default" w:ascii="Garamond" w:hAnsi="Garamond" w:cs="Garamond"/>
          <w:sz w:val="24"/>
          <w:szCs w:val="24"/>
        </w:rPr>
        <w:t xml:space="preserve">yang </w:t>
      </w:r>
      <w:r>
        <w:rPr>
          <w:rFonts w:hint="default" w:ascii="Garamond" w:hAnsi="Garamond" w:cs="Garamond"/>
          <w:sz w:val="24"/>
          <w:szCs w:val="22"/>
          <w:rtl/>
          <w:lang w:val="ar-SA"/>
        </w:rPr>
        <w:t xml:space="preserve">mengarahkan pada perilaku homoseksual. Kedua, </w:t>
      </w:r>
      <w:r>
        <w:rPr>
          <w:rFonts w:hint="default" w:ascii="Garamond" w:hAnsi="Garamond" w:cs="Garamond"/>
          <w:sz w:val="24"/>
          <w:szCs w:val="24"/>
        </w:rPr>
        <w:t xml:space="preserve">melakukan pernikahan yang sah. </w:t>
      </w:r>
      <w:r>
        <w:rPr>
          <w:rFonts w:hint="default" w:ascii="Garamond" w:hAnsi="Garamond" w:cs="Garamond"/>
          <w:sz w:val="24"/>
          <w:szCs w:val="22"/>
          <w:rtl/>
          <w:lang w:val="ar-SA"/>
        </w:rPr>
        <w:t>Hubungan seks memiliki berbagai tujuan mulia, selain karena harus dilakukan di dalam ikatan suci pernikahan, melalui pernikahan inilah diharapkan akan lahir generasi berikutnya.</w:t>
      </w:r>
      <w:r>
        <w:rPr>
          <w:rFonts w:hint="default" w:ascii="Garamond" w:hAnsi="Garamond" w:cs="Garamond"/>
          <w:sz w:val="24"/>
          <w:szCs w:val="24"/>
        </w:rPr>
        <w:t xml:space="preserve"> </w:t>
      </w:r>
      <w:r>
        <w:rPr>
          <w:rFonts w:hint="default" w:ascii="Garamond" w:hAnsi="Garamond" w:cs="Garamond"/>
          <w:sz w:val="24"/>
          <w:szCs w:val="22"/>
          <w:rtl/>
          <w:lang w:val="ar-SA"/>
        </w:rPr>
        <w:t xml:space="preserve">Ketiga, </w:t>
      </w:r>
      <w:r>
        <w:rPr>
          <w:rFonts w:hint="default" w:ascii="Garamond" w:hAnsi="Garamond" w:cs="Garamond"/>
          <w:sz w:val="24"/>
          <w:szCs w:val="24"/>
        </w:rPr>
        <w:t xml:space="preserve">memberikan sanksi </w:t>
      </w:r>
      <w:r>
        <w:rPr>
          <w:rFonts w:hint="default" w:ascii="Garamond" w:hAnsi="Garamond" w:cs="Garamond"/>
          <w:sz w:val="24"/>
          <w:szCs w:val="22"/>
          <w:rtl/>
          <w:lang w:val="ar-SA"/>
        </w:rPr>
        <w:t xml:space="preserve">hukuman </w:t>
      </w:r>
      <w:r>
        <w:rPr>
          <w:rFonts w:hint="default" w:ascii="Garamond" w:hAnsi="Garamond" w:cs="Garamond"/>
          <w:sz w:val="24"/>
          <w:szCs w:val="24"/>
        </w:rPr>
        <w:t>bagi</w:t>
      </w:r>
      <w:r>
        <w:rPr>
          <w:rFonts w:hint="default" w:ascii="Garamond" w:hAnsi="Garamond" w:cs="Garamond"/>
          <w:sz w:val="24"/>
          <w:szCs w:val="22"/>
          <w:rtl/>
          <w:lang w:val="ar-SA"/>
        </w:rPr>
        <w:t xml:space="preserve"> pelaku penyimpangan seksual</w:t>
      </w:r>
      <w:r>
        <w:rPr>
          <w:rFonts w:hint="default" w:ascii="Garamond" w:hAnsi="Garamond" w:cs="Garamond"/>
          <w:sz w:val="24"/>
          <w:szCs w:val="24"/>
        </w:rPr>
        <w:t>. K</w:t>
      </w:r>
      <w:r>
        <w:rPr>
          <w:rFonts w:hint="default" w:ascii="Garamond" w:hAnsi="Garamond" w:cs="Garamond"/>
          <w:sz w:val="24"/>
          <w:szCs w:val="22"/>
          <w:rtl/>
          <w:lang w:val="ar-SA"/>
        </w:rPr>
        <w:t xml:space="preserve">eempat, pemerintah </w:t>
      </w:r>
      <w:r>
        <w:rPr>
          <w:rFonts w:hint="default" w:ascii="Garamond" w:hAnsi="Garamond" w:cs="Garamond"/>
          <w:sz w:val="24"/>
          <w:szCs w:val="24"/>
        </w:rPr>
        <w:t xml:space="preserve">melarang keras segala </w:t>
      </w:r>
      <w:r>
        <w:rPr>
          <w:rFonts w:hint="default" w:ascii="Garamond" w:hAnsi="Garamond" w:cs="Garamond"/>
          <w:sz w:val="24"/>
          <w:szCs w:val="22"/>
          <w:rtl/>
          <w:lang w:val="ar-SA"/>
        </w:rPr>
        <w:t xml:space="preserve">bentuk propaganda, promosi dan dukungan terhadap legalisasi dan perkembangan </w:t>
      </w:r>
      <w:r>
        <w:rPr>
          <w:rFonts w:hint="default" w:ascii="Garamond" w:hAnsi="Garamond" w:cs="Garamond"/>
          <w:sz w:val="24"/>
          <w:szCs w:val="24"/>
          <w:lang w:val="en-US"/>
        </w:rPr>
        <w:t>homoseksual</w:t>
      </w:r>
      <w:r>
        <w:rPr>
          <w:rFonts w:hint="default" w:ascii="Garamond" w:hAnsi="Garamond" w:cs="Garamond"/>
          <w:sz w:val="24"/>
          <w:szCs w:val="22"/>
          <w:rtl/>
          <w:lang w:val="ar-SA"/>
        </w:rPr>
        <w:t>.</w:t>
      </w:r>
      <w:r>
        <w:rPr>
          <w:rFonts w:hint="default" w:ascii="Garamond" w:hAnsi="Garamond" w:cs="Garamond"/>
          <w:sz w:val="24"/>
          <w:szCs w:val="24"/>
        </w:rPr>
        <w:t xml:space="preserve"> Tidak hanya itu, pemerintah juga harus s</w:t>
      </w:r>
      <w:r>
        <w:rPr>
          <w:rFonts w:hint="default" w:ascii="Garamond" w:hAnsi="Garamond" w:cs="Garamond"/>
          <w:sz w:val="24"/>
          <w:szCs w:val="22"/>
          <w:rtl/>
          <w:lang w:val="ar-SA"/>
        </w:rPr>
        <w:t xml:space="preserve">egera mengeluarkan peraturan perundang-undangan yang melarang prilaku dan praktek </w:t>
      </w:r>
      <w:r>
        <w:rPr>
          <w:rFonts w:hint="default" w:ascii="Garamond" w:hAnsi="Garamond" w:cs="Garamond"/>
          <w:sz w:val="24"/>
          <w:szCs w:val="24"/>
          <w:lang w:val="en-US"/>
        </w:rPr>
        <w:t>homoseksual</w:t>
      </w:r>
      <w:r>
        <w:rPr>
          <w:rFonts w:hint="default" w:ascii="Garamond" w:hAnsi="Garamond" w:cs="Garamond"/>
          <w:sz w:val="24"/>
          <w:szCs w:val="22"/>
          <w:rtl/>
          <w:lang w:val="ar-SA"/>
        </w:rPr>
        <w:t>.</w:t>
      </w:r>
      <w:r>
        <w:rPr>
          <w:rFonts w:hint="default" w:ascii="Garamond" w:hAnsi="Garamond" w:cs="Garamond"/>
          <w:sz w:val="24"/>
          <w:szCs w:val="24"/>
        </w:rPr>
        <w:t xml:space="preserve"> </w:t>
      </w:r>
      <w:r>
        <w:rPr>
          <w:rFonts w:hint="default" w:ascii="Garamond" w:hAnsi="Garamond" w:cs="Garamond"/>
          <w:sz w:val="24"/>
          <w:szCs w:val="22"/>
          <w:rtl/>
          <w:lang w:val="ar-SA"/>
        </w:rPr>
        <w:t>Ke</w:t>
      </w:r>
      <w:r>
        <w:rPr>
          <w:rFonts w:hint="default" w:ascii="Garamond" w:hAnsi="Garamond" w:cs="Garamond"/>
          <w:sz w:val="24"/>
          <w:szCs w:val="24"/>
        </w:rPr>
        <w:t xml:space="preserve">lima, </w:t>
      </w:r>
      <w:r>
        <w:rPr>
          <w:rFonts w:hint="default" w:ascii="Garamond" w:hAnsi="Garamond" w:cs="Garamond"/>
          <w:sz w:val="24"/>
          <w:szCs w:val="22"/>
          <w:rtl/>
          <w:lang w:val="ar-SA"/>
        </w:rPr>
        <w:t xml:space="preserve">pemerintah </w:t>
      </w:r>
      <w:r>
        <w:rPr>
          <w:rFonts w:hint="default" w:ascii="Garamond" w:hAnsi="Garamond" w:cs="Garamond"/>
          <w:sz w:val="24"/>
          <w:szCs w:val="24"/>
        </w:rPr>
        <w:t>menyediakan</w:t>
      </w:r>
      <w:r>
        <w:rPr>
          <w:rFonts w:hint="default" w:ascii="Garamond" w:hAnsi="Garamond" w:cs="Garamond"/>
          <w:sz w:val="24"/>
          <w:szCs w:val="22"/>
          <w:rtl/>
          <w:lang w:val="ar-SA"/>
        </w:rPr>
        <w:t xml:space="preserve"> program kerja dan anggaran di bidang pendampingan, rehabilitasi serta penyembuhan bagi </w:t>
      </w:r>
      <w:r>
        <w:rPr>
          <w:rFonts w:hint="default" w:ascii="Garamond" w:hAnsi="Garamond" w:cs="Garamond"/>
          <w:sz w:val="24"/>
          <w:szCs w:val="24"/>
        </w:rPr>
        <w:t>para</w:t>
      </w:r>
      <w:r>
        <w:rPr>
          <w:rFonts w:hint="default" w:ascii="Garamond" w:hAnsi="Garamond" w:cs="Garamond"/>
          <w:sz w:val="24"/>
          <w:szCs w:val="22"/>
          <w:rtl/>
          <w:lang w:val="ar-SA"/>
        </w:rPr>
        <w:t xml:space="preserve"> </w:t>
      </w:r>
      <w:r>
        <w:rPr>
          <w:rFonts w:hint="default" w:ascii="Garamond" w:hAnsi="Garamond" w:cs="Garamond"/>
          <w:sz w:val="24"/>
          <w:szCs w:val="24"/>
          <w:lang w:val="en-US"/>
        </w:rPr>
        <w:t>homoseksual</w:t>
      </w:r>
      <w:r>
        <w:rPr>
          <w:rFonts w:hint="default" w:ascii="Garamond" w:hAnsi="Garamond" w:cs="Garamond"/>
          <w:sz w:val="24"/>
          <w:szCs w:val="22"/>
          <w:rtl/>
          <w:lang w:val="ar-SA"/>
        </w:rPr>
        <w:t>. Ke</w:t>
      </w:r>
      <w:r>
        <w:rPr>
          <w:rFonts w:hint="default" w:ascii="Garamond" w:hAnsi="Garamond" w:cs="Garamond"/>
          <w:sz w:val="24"/>
          <w:szCs w:val="24"/>
        </w:rPr>
        <w:t>enam</w:t>
      </w:r>
      <w:r>
        <w:rPr>
          <w:rFonts w:hint="default" w:ascii="Garamond" w:hAnsi="Garamond" w:cs="Garamond"/>
          <w:sz w:val="24"/>
          <w:szCs w:val="22"/>
          <w:rtl/>
          <w:lang w:val="ar-SA"/>
        </w:rPr>
        <w:t xml:space="preserve">, masyarakat </w:t>
      </w:r>
      <w:r>
        <w:rPr>
          <w:rFonts w:hint="default" w:ascii="Garamond" w:hAnsi="Garamond" w:cs="Garamond"/>
          <w:sz w:val="24"/>
          <w:szCs w:val="24"/>
        </w:rPr>
        <w:t xml:space="preserve">berperan aktif </w:t>
      </w:r>
      <w:r>
        <w:rPr>
          <w:rFonts w:hint="default" w:ascii="Garamond" w:hAnsi="Garamond" w:cs="Garamond"/>
          <w:sz w:val="24"/>
          <w:szCs w:val="22"/>
          <w:rtl/>
          <w:lang w:val="ar-SA"/>
        </w:rPr>
        <w:t>membantu pendampingan terhadap komunitas</w:t>
      </w:r>
      <w:r>
        <w:rPr>
          <w:rFonts w:hint="default" w:ascii="Garamond" w:hAnsi="Garamond" w:cs="Garamond"/>
          <w:sz w:val="24"/>
          <w:szCs w:val="22"/>
          <w:rtl w:val="0"/>
          <w:lang w:val="en-US"/>
        </w:rPr>
        <w:t xml:space="preserve"> </w:t>
      </w:r>
      <w:r>
        <w:rPr>
          <w:rFonts w:hint="default" w:ascii="Garamond" w:hAnsi="Garamond" w:cs="Garamond"/>
          <w:sz w:val="24"/>
          <w:szCs w:val="24"/>
          <w:lang w:val="en-US"/>
        </w:rPr>
        <w:t xml:space="preserve">homoseksual </w:t>
      </w:r>
      <w:r>
        <w:rPr>
          <w:rFonts w:hint="default" w:ascii="Garamond" w:hAnsi="Garamond" w:cs="Garamond"/>
          <w:sz w:val="24"/>
          <w:szCs w:val="22"/>
          <w:rtl/>
          <w:lang w:val="ar-SA"/>
        </w:rPr>
        <w:t>dan tidak mengucilkan mereka.</w:t>
      </w:r>
      <w:r>
        <w:rPr>
          <w:rFonts w:hint="default" w:ascii="Garamond" w:hAnsi="Garamond" w:cs="Garamond"/>
          <w:sz w:val="24"/>
          <w:szCs w:val="24"/>
          <w:vertAlign w:val="superscript"/>
          <w:lang w:val="ar-SA"/>
        </w:rPr>
        <w:footnoteReference w:id="48"/>
      </w:r>
      <w:r>
        <w:rPr>
          <w:rFonts w:hint="default" w:ascii="Garamond" w:hAnsi="Garamond" w:cs="Garamond"/>
          <w:sz w:val="24"/>
          <w:szCs w:val="24"/>
        </w:rPr>
        <w:t xml:space="preserve"> Langkah kongkrit sebagai upaya pencegahan prilaku homoseksual yang disarankan oleh Huza</w:t>
      </w:r>
      <w:r>
        <w:rPr>
          <w:rFonts w:hint="default" w:ascii="Garamond" w:hAnsi="Garamond" w:cs="Garamond"/>
          <w:sz w:val="24"/>
          <w:szCs w:val="24"/>
          <w:lang w:val="en-US"/>
        </w:rPr>
        <w:t>e</w:t>
      </w:r>
      <w:r>
        <w:rPr>
          <w:rFonts w:hint="default" w:ascii="Garamond" w:hAnsi="Garamond" w:cs="Garamond"/>
          <w:sz w:val="24"/>
          <w:szCs w:val="24"/>
        </w:rPr>
        <w:t xml:space="preserve">mah di atas sejalan dengan  kaidah fikih prefentif yang berbunyi </w:t>
      </w:r>
      <w:r>
        <w:rPr>
          <w:rFonts w:hint="default" w:ascii="Garamond" w:hAnsi="Garamond" w:cs="Garamond"/>
          <w:i/>
          <w:sz w:val="24"/>
          <w:szCs w:val="24"/>
        </w:rPr>
        <w:t xml:space="preserve">al-dhororu yuzaalu </w:t>
      </w:r>
      <w:r>
        <w:rPr>
          <w:rFonts w:hint="default" w:ascii="Garamond" w:hAnsi="Garamond" w:cs="Garamond"/>
          <w:sz w:val="24"/>
          <w:szCs w:val="24"/>
        </w:rPr>
        <w:t xml:space="preserve">yang artinya kemudaratan harus dihilangkan, dan kaidah fikih prioritas yang berbunyi </w:t>
      </w:r>
      <w:r>
        <w:rPr>
          <w:rFonts w:hint="default" w:ascii="Garamond" w:hAnsi="Garamond" w:cs="Garamond"/>
          <w:i/>
          <w:sz w:val="24"/>
          <w:szCs w:val="24"/>
        </w:rPr>
        <w:t>al-maslahat al-ammah muqoddamatun ala al-maslahat al-khossoh</w:t>
      </w:r>
      <w:r>
        <w:rPr>
          <w:rFonts w:hint="default" w:ascii="Garamond" w:hAnsi="Garamond" w:cs="Garamond"/>
          <w:sz w:val="24"/>
          <w:szCs w:val="24"/>
        </w:rPr>
        <w:t xml:space="preserve"> yang artinya kepentingan publik harus diprioritaskan dari kepentingan individual.</w:t>
      </w:r>
    </w:p>
    <w:p>
      <w:pPr>
        <w:spacing w:beforeLines="0" w:afterLines="0" w:line="360" w:lineRule="auto"/>
        <w:ind w:firstLine="360"/>
        <w:jc w:val="both"/>
        <w:rPr>
          <w:rFonts w:hint="default" w:ascii="Garamond" w:hAnsi="Garamond" w:cs="Garamond"/>
          <w:sz w:val="24"/>
          <w:szCs w:val="24"/>
        </w:rPr>
      </w:pPr>
      <w:r>
        <w:rPr>
          <w:rFonts w:hint="default" w:ascii="Garamond" w:hAnsi="Garamond" w:cs="Garamond"/>
          <w:sz w:val="24"/>
          <w:szCs w:val="24"/>
        </w:rPr>
        <w:t>Berpijak pada uraian analisis komparatif terhadap dua tokoh di atas (Musdah dan Huza</w:t>
      </w:r>
      <w:r>
        <w:rPr>
          <w:rFonts w:hint="default" w:ascii="Garamond" w:hAnsi="Garamond" w:cs="Garamond"/>
          <w:sz w:val="24"/>
          <w:szCs w:val="24"/>
          <w:lang w:val="en-US"/>
        </w:rPr>
        <w:t>e</w:t>
      </w:r>
      <w:r>
        <w:rPr>
          <w:rFonts w:hint="default" w:ascii="Garamond" w:hAnsi="Garamond" w:cs="Garamond"/>
          <w:sz w:val="24"/>
          <w:szCs w:val="24"/>
        </w:rPr>
        <w:t>mah) menunjukan distingsi pemikiran keduanya atas eksistensi LGBT bersumber dari perbedaaan landasan paradigmatik hukum Islam yang digunakannya.</w:t>
      </w:r>
    </w:p>
    <w:p>
      <w:pPr>
        <w:spacing w:beforeLines="0" w:afterLines="0" w:line="360" w:lineRule="auto"/>
        <w:jc w:val="both"/>
        <w:rPr>
          <w:rFonts w:hint="default" w:ascii="Garamond" w:hAnsi="Garamond" w:cs="Garamond"/>
          <w:b/>
          <w:sz w:val="24"/>
          <w:szCs w:val="24"/>
          <w:lang w:val="en-US"/>
        </w:rPr>
      </w:pPr>
      <w:r>
        <w:rPr>
          <w:rFonts w:hint="default" w:ascii="Garamond" w:hAnsi="Garamond" w:cs="Garamond"/>
          <w:b/>
          <w:sz w:val="24"/>
          <w:szCs w:val="24"/>
          <w:lang w:val="en-US"/>
        </w:rPr>
        <w:t>Catatan Akhir</w:t>
      </w:r>
    </w:p>
    <w:p>
      <w:pPr>
        <w:spacing w:beforeLines="0" w:afterLines="0" w:line="360" w:lineRule="auto"/>
        <w:ind w:firstLine="720"/>
        <w:jc w:val="both"/>
        <w:rPr>
          <w:rFonts w:hint="default" w:ascii="Garamond" w:hAnsi="Garamond" w:cs="Garamond"/>
          <w:sz w:val="24"/>
          <w:szCs w:val="24"/>
        </w:rPr>
      </w:pPr>
      <w:r>
        <w:rPr>
          <w:rFonts w:hint="default" w:ascii="Garamond" w:hAnsi="Garamond" w:cs="Garamond"/>
          <w:sz w:val="24"/>
          <w:szCs w:val="24"/>
        </w:rPr>
        <w:t>Berdasarkan uraian pembahasan inti penelitian ini bahwa distingsi pemikiran hukum Islam antara Musdah Mulia dengan Huza</w:t>
      </w:r>
      <w:r>
        <w:rPr>
          <w:rFonts w:hint="default" w:ascii="Garamond" w:hAnsi="Garamond" w:cs="Garamond"/>
          <w:sz w:val="24"/>
          <w:szCs w:val="24"/>
          <w:lang w:val="en-US"/>
        </w:rPr>
        <w:t>e</w:t>
      </w:r>
      <w:r>
        <w:rPr>
          <w:rFonts w:hint="default" w:ascii="Garamond" w:hAnsi="Garamond" w:cs="Garamond"/>
          <w:sz w:val="24"/>
          <w:szCs w:val="24"/>
        </w:rPr>
        <w:t>mah Tahido Ya</w:t>
      </w:r>
      <w:r>
        <w:rPr>
          <w:rFonts w:hint="default" w:ascii="Garamond" w:hAnsi="Garamond" w:cs="Garamond"/>
          <w:sz w:val="24"/>
          <w:szCs w:val="24"/>
          <w:lang w:val="en-US"/>
        </w:rPr>
        <w:t xml:space="preserve">nggo </w:t>
      </w:r>
      <w:r>
        <w:rPr>
          <w:rFonts w:hint="default" w:ascii="Garamond" w:hAnsi="Garamond" w:cs="Garamond"/>
          <w:sz w:val="24"/>
          <w:szCs w:val="24"/>
        </w:rPr>
        <w:t xml:space="preserve">tentang </w:t>
      </w:r>
      <w:r>
        <w:rPr>
          <w:rFonts w:hint="default" w:ascii="Garamond" w:hAnsi="Garamond" w:cs="Garamond"/>
          <w:sz w:val="24"/>
          <w:szCs w:val="24"/>
          <w:lang w:val="en-US"/>
        </w:rPr>
        <w:t>homoseksual</w:t>
      </w:r>
      <w:r>
        <w:rPr>
          <w:rFonts w:hint="default" w:ascii="Garamond" w:hAnsi="Garamond" w:cs="Garamond"/>
          <w:sz w:val="24"/>
          <w:szCs w:val="24"/>
        </w:rPr>
        <w:t xml:space="preserve"> </w:t>
      </w:r>
      <w:r>
        <w:rPr>
          <w:rFonts w:hint="default" w:ascii="Garamond" w:hAnsi="Garamond" w:cs="Garamond"/>
          <w:sz w:val="24"/>
          <w:szCs w:val="24"/>
          <w:lang w:val="en-US"/>
        </w:rPr>
        <w:t xml:space="preserve">disebabkan oleh perbedaan </w:t>
      </w:r>
      <w:r>
        <w:rPr>
          <w:rFonts w:hint="default" w:ascii="Garamond" w:hAnsi="Garamond" w:cs="Garamond"/>
          <w:sz w:val="24"/>
          <w:szCs w:val="24"/>
        </w:rPr>
        <w:t>landasan epistemologis hukum Islam</w:t>
      </w:r>
      <w:r>
        <w:rPr>
          <w:rFonts w:hint="default" w:ascii="Garamond" w:hAnsi="Garamond" w:cs="Garamond"/>
          <w:sz w:val="24"/>
          <w:szCs w:val="24"/>
          <w:lang w:val="en-US"/>
        </w:rPr>
        <w:t xml:space="preserve"> di antara keduanya</w:t>
      </w:r>
      <w:r>
        <w:rPr>
          <w:rFonts w:hint="default" w:ascii="Garamond" w:hAnsi="Garamond" w:cs="Garamond"/>
          <w:sz w:val="24"/>
          <w:szCs w:val="24"/>
        </w:rPr>
        <w:t>. Pemikiran Musdah yang cenderung mengabsahkan homoseksual sebagai hal kodrati selama tidak melakukan sodomi berlandaskan epistemologi hukum Islam parsial, yakni tidak mempertimbangkan kompleksitas aspek kemudharatan</w:t>
      </w:r>
      <w:r>
        <w:rPr>
          <w:rFonts w:hint="default" w:ascii="Garamond" w:hAnsi="Garamond" w:cs="Garamond"/>
          <w:sz w:val="24"/>
          <w:szCs w:val="24"/>
          <w:lang w:val="en-US"/>
        </w:rPr>
        <w:t xml:space="preserve"> (bahaya)</w:t>
      </w:r>
      <w:r>
        <w:rPr>
          <w:rFonts w:hint="default" w:ascii="Garamond" w:hAnsi="Garamond" w:cs="Garamond"/>
          <w:sz w:val="24"/>
          <w:szCs w:val="24"/>
        </w:rPr>
        <w:t xml:space="preserve">, baik dari perspektif agama, sosial maupun medis. Hal demikian bertentangan dengan kaidah fikih berupa </w:t>
      </w:r>
      <w:r>
        <w:rPr>
          <w:rFonts w:hint="default" w:ascii="Garamond" w:hAnsi="Garamond" w:cs="Garamond"/>
          <w:i/>
          <w:sz w:val="24"/>
          <w:szCs w:val="24"/>
        </w:rPr>
        <w:t>al-dhororu yuzal,</w:t>
      </w:r>
      <w:r>
        <w:rPr>
          <w:rFonts w:hint="default" w:ascii="Garamond" w:hAnsi="Garamond" w:cs="Garamond"/>
          <w:sz w:val="24"/>
          <w:szCs w:val="24"/>
        </w:rPr>
        <w:t xml:space="preserve"> yakni kemudharatan harus dihiilangkan. Sedangkan pemikiran Huza</w:t>
      </w:r>
      <w:r>
        <w:rPr>
          <w:rFonts w:hint="default" w:ascii="Garamond" w:hAnsi="Garamond" w:cs="Garamond"/>
          <w:sz w:val="24"/>
          <w:szCs w:val="24"/>
          <w:lang w:val="en-US"/>
        </w:rPr>
        <w:t>e</w:t>
      </w:r>
      <w:r>
        <w:rPr>
          <w:rFonts w:hint="default" w:ascii="Garamond" w:hAnsi="Garamond" w:cs="Garamond"/>
          <w:sz w:val="24"/>
          <w:szCs w:val="24"/>
        </w:rPr>
        <w:t>mah yang megharamkan prilaku homoseksual berpijak epistemologi hukum Islam yang mempertimbangkan kemudharatan dari berbagai perspektif, baik agama, sosial, medis bahkan konstitusi dan ideologi negara Indonesia. Namun demikian Huza</w:t>
      </w:r>
      <w:r>
        <w:rPr>
          <w:rFonts w:hint="default" w:ascii="Garamond" w:hAnsi="Garamond" w:cs="Garamond"/>
          <w:sz w:val="24"/>
          <w:szCs w:val="24"/>
          <w:lang w:val="en-US"/>
        </w:rPr>
        <w:t>e</w:t>
      </w:r>
      <w:r>
        <w:rPr>
          <w:rFonts w:hint="default" w:ascii="Garamond" w:hAnsi="Garamond" w:cs="Garamond"/>
          <w:sz w:val="24"/>
          <w:szCs w:val="24"/>
        </w:rPr>
        <w:t xml:space="preserve">mah tidak sekedar melontarkan kritik dan argumentasi hukum atas pelarangan homoseksual, ia juga memberikan solusi dalam pencegahan homoseksual dapat dilakukan, baik oleh masyarakat sipil maupun pemerintah. Basis pemikiran demikian sejalan dengan kaidah fikih prefentif berbunyi </w:t>
      </w:r>
      <w:r>
        <w:rPr>
          <w:rFonts w:hint="default" w:ascii="Garamond" w:hAnsi="Garamond" w:cs="Garamond"/>
          <w:i/>
          <w:sz w:val="24"/>
          <w:szCs w:val="24"/>
        </w:rPr>
        <w:t xml:space="preserve">al-dhororu yuzaalu </w:t>
      </w:r>
      <w:r>
        <w:rPr>
          <w:rFonts w:hint="default" w:ascii="Garamond" w:hAnsi="Garamond" w:cs="Garamond"/>
          <w:sz w:val="24"/>
          <w:szCs w:val="24"/>
        </w:rPr>
        <w:t xml:space="preserve">yang artinya kemudaratan harus dihilangkan, dan kaidah fikih prioritas yang berbunyi </w:t>
      </w:r>
      <w:r>
        <w:rPr>
          <w:rFonts w:hint="default" w:ascii="Garamond" w:hAnsi="Garamond" w:cs="Garamond"/>
          <w:i/>
          <w:sz w:val="24"/>
          <w:szCs w:val="24"/>
        </w:rPr>
        <w:t>al-maslahat al-ammah muqoddamatun ala al-maslahat al-khossoh</w:t>
      </w:r>
      <w:r>
        <w:rPr>
          <w:rFonts w:hint="default" w:ascii="Garamond" w:hAnsi="Garamond" w:cs="Garamond"/>
          <w:sz w:val="24"/>
          <w:szCs w:val="24"/>
        </w:rPr>
        <w:t xml:space="preserve"> yang artinya kepentingan publik harus diprioritaskan dari kepentingan individual.</w:t>
      </w:r>
    </w:p>
    <w:p>
      <w:pPr>
        <w:spacing w:beforeLines="0" w:afterLines="0" w:line="360" w:lineRule="auto"/>
        <w:ind w:firstLine="720"/>
        <w:jc w:val="both"/>
        <w:rPr>
          <w:rFonts w:hint="default" w:ascii="Garamond" w:hAnsi="Garamond" w:cs="Garamond"/>
          <w:sz w:val="24"/>
          <w:szCs w:val="24"/>
        </w:rPr>
      </w:pPr>
      <w:r>
        <w:rPr>
          <w:rFonts w:hint="default" w:ascii="Garamond" w:hAnsi="Garamond" w:cs="Garamond"/>
          <w:sz w:val="24"/>
          <w:szCs w:val="24"/>
        </w:rPr>
        <w:t>Implikasi teoritik penelitian ini menunjukan bahwa basis paradigmatik atas hukum Islam yang cenderung mengabsahkan homoseksual cenderung bercorak pragmatisme individualis. Sedangkan basis paradigmatik atas hukum Islam yang melarang keras terhadapp homoseksual bercorak prefentif-sosialis. Terdapat keterbatasan penelitian ini yang dapat dilanjutkan oleh peneliti berikutnya, yakni terkait analisis komparatif terkait metode penafsiran  Musdah dan Huza</w:t>
      </w:r>
      <w:r>
        <w:rPr>
          <w:rFonts w:hint="default" w:ascii="Garamond" w:hAnsi="Garamond" w:cs="Garamond"/>
          <w:sz w:val="24"/>
          <w:szCs w:val="24"/>
          <w:lang w:val="en-US"/>
        </w:rPr>
        <w:t>e</w:t>
      </w:r>
      <w:r>
        <w:rPr>
          <w:rFonts w:hint="default" w:ascii="Garamond" w:hAnsi="Garamond" w:cs="Garamond"/>
          <w:sz w:val="24"/>
          <w:szCs w:val="24"/>
        </w:rPr>
        <w:t xml:space="preserve">mah terhadap landasan teologis tentang hukum  homoseksual. Mengingat perbedaan pemikiran hukum Islam keduanya tidak terlepas dari </w:t>
      </w:r>
      <w:r>
        <w:rPr>
          <w:rFonts w:hint="default" w:ascii="Garamond" w:hAnsi="Garamond" w:cs="Garamond"/>
          <w:sz w:val="24"/>
          <w:szCs w:val="24"/>
          <w:lang w:val="en-US"/>
        </w:rPr>
        <w:t>penafsiran terhadap</w:t>
      </w:r>
      <w:r>
        <w:rPr>
          <w:rFonts w:hint="default" w:ascii="Garamond" w:hAnsi="Garamond" w:cs="Garamond"/>
          <w:sz w:val="24"/>
          <w:szCs w:val="24"/>
        </w:rPr>
        <w:t xml:space="preserve"> landasan teologis yang ada.</w:t>
      </w:r>
    </w:p>
    <w:p>
      <w:pPr>
        <w:spacing w:beforeLines="0" w:after="200" w:afterLines="0"/>
        <w:rPr>
          <w:rFonts w:hint="default" w:ascii="Garamond" w:hAnsi="Garamond" w:cs="Garamond"/>
          <w:sz w:val="24"/>
          <w:szCs w:val="24"/>
        </w:rPr>
      </w:pPr>
      <w:r>
        <w:rPr>
          <w:rFonts w:hint="default" w:ascii="Garamond" w:hAnsi="Garamond" w:cs="Garamond"/>
          <w:sz w:val="24"/>
          <w:szCs w:val="24"/>
        </w:rPr>
        <w:br w:type="page"/>
      </w:r>
    </w:p>
    <w:p>
      <w:pPr>
        <w:spacing w:beforeLines="0" w:afterLines="0" w:line="360" w:lineRule="auto"/>
        <w:jc w:val="both"/>
        <w:rPr>
          <w:rFonts w:hint="default" w:ascii="Garamond" w:hAnsi="Garamond" w:cs="Garamond"/>
          <w:b/>
          <w:sz w:val="24"/>
          <w:szCs w:val="24"/>
          <w:lang w:val="en-US"/>
        </w:rPr>
      </w:pPr>
      <w:r>
        <w:rPr>
          <w:rFonts w:hint="default" w:ascii="Garamond" w:hAnsi="Garamond" w:cs="Garamond"/>
          <w:b/>
          <w:sz w:val="24"/>
          <w:szCs w:val="24"/>
          <w:lang w:val="en-US"/>
        </w:rPr>
        <w:t>Daftar Rujukan</w:t>
      </w:r>
    </w:p>
    <w:p>
      <w:pPr>
        <w:pStyle w:val="12"/>
        <w:spacing w:beforeLines="0" w:afterLines="0"/>
        <w:jc w:val="both"/>
        <w:rPr>
          <w:rFonts w:hint="default" w:ascii="Garamond" w:hAnsi="Garamond" w:cs="Garamond"/>
          <w:sz w:val="22"/>
          <w:szCs w:val="22"/>
        </w:rPr>
      </w:pPr>
      <w:r>
        <w:rPr>
          <w:rFonts w:hint="default" w:ascii="Garamond" w:hAnsi="Garamond" w:cs="Garamond"/>
          <w:sz w:val="22"/>
          <w:szCs w:val="22"/>
          <w:lang w:val="id-ID"/>
        </w:rPr>
        <w:fldChar w:fldCharType="begin"/>
      </w:r>
      <w:r>
        <w:rPr>
          <w:rFonts w:hint="default" w:ascii="Garamond" w:hAnsi="Garamond" w:cs="Garamond"/>
          <w:sz w:val="22"/>
          <w:szCs w:val="22"/>
          <w:lang w:val="id-ID"/>
        </w:rPr>
        <w:instrText xml:space="preserve"> ADDIN ZOTERO_BIBL {"uncited":[],"omitted":[],"custom":[]} CSL_BIBLIOGRAPHY </w:instrText>
      </w:r>
      <w:r>
        <w:rPr>
          <w:rFonts w:hint="default" w:ascii="Garamond" w:hAnsi="Garamond" w:cs="Garamond"/>
          <w:sz w:val="22"/>
          <w:szCs w:val="22"/>
          <w:lang w:val="id-ID"/>
        </w:rPr>
        <w:fldChar w:fldCharType="separate"/>
      </w:r>
      <w:r>
        <w:rPr>
          <w:rFonts w:hint="default" w:ascii="Garamond" w:hAnsi="Garamond" w:cs="Garamond"/>
          <w:sz w:val="22"/>
          <w:szCs w:val="22"/>
        </w:rPr>
        <w:t xml:space="preserve">Abdussalam, Izzzuddin. </w:t>
      </w:r>
      <w:r>
        <w:rPr>
          <w:rFonts w:hint="default" w:ascii="Garamond" w:hAnsi="Garamond" w:cs="Garamond"/>
          <w:i/>
          <w:sz w:val="22"/>
          <w:szCs w:val="22"/>
        </w:rPr>
        <w:t>Al-Qawaid Al-Kubra: Qawaid Al-Ahkam Fi Islah Al-Anam</w:t>
      </w:r>
      <w:r>
        <w:rPr>
          <w:rFonts w:hint="default" w:ascii="Garamond" w:hAnsi="Garamond" w:cs="Garamond"/>
          <w:sz w:val="22"/>
          <w:szCs w:val="22"/>
        </w:rPr>
        <w:t>. Damaskus: Dar Al-Qalam, 2000.</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Al-Shatibi. </w:t>
      </w:r>
      <w:r>
        <w:rPr>
          <w:rFonts w:hint="default" w:ascii="Garamond" w:hAnsi="Garamond" w:cs="Garamond"/>
          <w:i/>
          <w:sz w:val="22"/>
          <w:szCs w:val="22"/>
        </w:rPr>
        <w:t>Al-Muwafaqat Fi Usul al-Shari’ah</w:t>
      </w:r>
      <w:r>
        <w:rPr>
          <w:rFonts w:hint="default" w:ascii="Garamond" w:hAnsi="Garamond" w:cs="Garamond"/>
          <w:sz w:val="22"/>
          <w:szCs w:val="22"/>
        </w:rPr>
        <w:t>. Vol. 2, n.d.</w:t>
      </w:r>
    </w:p>
    <w:p>
      <w:pPr>
        <w:pStyle w:val="12"/>
        <w:spacing w:beforeLines="0" w:afterLines="0"/>
        <w:jc w:val="both"/>
        <w:rPr>
          <w:rFonts w:hint="default"/>
        </w:rPr>
      </w:pPr>
      <w:r>
        <w:rPr>
          <w:rFonts w:hint="default" w:ascii="Garamond" w:hAnsi="Garamond" w:cs="Garamond"/>
          <w:sz w:val="22"/>
          <w:szCs w:val="22"/>
          <w:lang w:val="en-US"/>
        </w:rPr>
        <w:t xml:space="preserve">Amirullah, Eko Siswanto, Syaiful Muhyidin, Athoillah Islamy, “Pancasila dan Kerukunan Hidup Umat Beragama :Maniifestasi Nilai-Nilai Pancasila dalam Peran Forum </w:t>
      </w:r>
      <w:r>
        <w:rPr>
          <w:rFonts w:hint="default" w:ascii="Garamond" w:hAnsi="Garamond" w:eastAsia="SimSun" w:cs="Garamond"/>
          <w:b w:val="0"/>
          <w:bCs w:val="0"/>
          <w:color w:val="000000"/>
          <w:kern w:val="0"/>
          <w:sz w:val="22"/>
          <w:szCs w:val="22"/>
          <w:lang w:val="en-US" w:eastAsia="zh-CN" w:bidi="ar"/>
        </w:rPr>
        <w:t xml:space="preserve">Kerukunan </w:t>
      </w:r>
      <w:r>
        <w:rPr>
          <w:rFonts w:hint="default" w:ascii="Garamond" w:hAnsi="Garamond" w:cs="Garamond"/>
          <w:sz w:val="22"/>
          <w:szCs w:val="22"/>
          <w:lang w:val="en-US"/>
        </w:rPr>
        <w:t xml:space="preserve">Hidup Umat Beragama Kota Jayapura,” </w:t>
      </w:r>
      <w:r>
        <w:rPr>
          <w:rFonts w:hint="default" w:ascii="Garamond" w:hAnsi="Garamond" w:cs="Garamond"/>
          <w:i/>
          <w:iCs/>
          <w:sz w:val="22"/>
          <w:szCs w:val="22"/>
          <w:lang w:val="en-US"/>
        </w:rPr>
        <w:t xml:space="preserve">Inovatif </w:t>
      </w:r>
      <w:r>
        <w:rPr>
          <w:rFonts w:hint="default" w:ascii="Garamond" w:hAnsi="Garamond" w:cs="Garamond"/>
          <w:sz w:val="22"/>
          <w:szCs w:val="22"/>
          <w:lang w:val="en-US"/>
        </w:rPr>
        <w:t>8,no1 (2022): 202</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Andiko, Toha. </w:t>
      </w:r>
      <w:r>
        <w:rPr>
          <w:rFonts w:hint="default" w:ascii="Garamond" w:hAnsi="Garamond" w:cs="Garamond"/>
          <w:i/>
          <w:sz w:val="22"/>
          <w:szCs w:val="22"/>
        </w:rPr>
        <w:t>Ilmu Qawa’id Fiqhiyyah: Panduan Praktis Dalam Merespon Problematika Hukum Islam Kontemporer</w:t>
      </w:r>
      <w:r>
        <w:rPr>
          <w:rFonts w:hint="default" w:ascii="Garamond" w:hAnsi="Garamond" w:cs="Garamond"/>
          <w:sz w:val="22"/>
          <w:szCs w:val="22"/>
        </w:rPr>
        <w:t>. Teras, 2011.</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Azis, Donny Khoirul, Made Saihu, Akmal Rizki Gunawan Hsb, and Athoillah Islamy. “Pancasila Educational Values in Indicators Religious Moderation in Indonesia.” </w:t>
      </w:r>
      <w:r>
        <w:rPr>
          <w:rFonts w:hint="default" w:ascii="Garamond" w:hAnsi="Garamond" w:cs="Garamond"/>
          <w:i/>
          <w:sz w:val="22"/>
          <w:szCs w:val="22"/>
        </w:rPr>
        <w:t>FITRAH: Jurnal Kajian Ilmu-Ilmu Keislaman</w:t>
      </w:r>
      <w:r>
        <w:rPr>
          <w:rFonts w:hint="default" w:ascii="Garamond" w:hAnsi="Garamond" w:cs="Garamond"/>
          <w:sz w:val="22"/>
          <w:szCs w:val="22"/>
        </w:rPr>
        <w:t xml:space="preserve"> 7, no. 2 (2021): 229–44.</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Darmawan. </w:t>
      </w:r>
      <w:r>
        <w:rPr>
          <w:rFonts w:hint="default" w:ascii="Garamond" w:hAnsi="Garamond" w:cs="Garamond"/>
          <w:i/>
          <w:sz w:val="22"/>
          <w:szCs w:val="22"/>
        </w:rPr>
        <w:t>Kaidah-Kiadah Fiqhiyyah</w:t>
      </w:r>
      <w:r>
        <w:rPr>
          <w:rFonts w:hint="default" w:ascii="Garamond" w:hAnsi="Garamond" w:cs="Garamond"/>
          <w:sz w:val="22"/>
          <w:szCs w:val="22"/>
        </w:rPr>
        <w:t>. Surabaya: Revka Prima Media, 2020.</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Daud, Fathonah K. “Analisa Pemikiran Musdah Mulia Di Media Massa Tentang Homoseksual: Kajian Historis, Teologis Dan Psikologis.” </w:t>
      </w:r>
      <w:r>
        <w:rPr>
          <w:rFonts w:hint="default" w:ascii="Garamond" w:hAnsi="Garamond" w:cs="Garamond"/>
          <w:i/>
          <w:sz w:val="22"/>
          <w:szCs w:val="22"/>
        </w:rPr>
        <w:t>AL MAQASHIDI</w:t>
      </w:r>
      <w:r>
        <w:rPr>
          <w:rFonts w:hint="default" w:ascii="Garamond" w:hAnsi="Garamond" w:cs="Garamond"/>
          <w:sz w:val="22"/>
          <w:szCs w:val="22"/>
        </w:rPr>
        <w:t xml:space="preserve"> 2, no. 1 (2019): 111–31.</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Firdausy, Ahmad Royhan. “Epistemologi Penafsiran Musdah Mulia Tentang Homoseksual.” PhD Thesis, Institut PTIQ Jakarta, 2018.</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Hawari, Dadang. “Pendekatan Psikoreligi Pada Homoseksual.” </w:t>
      </w:r>
      <w:r>
        <w:rPr>
          <w:rFonts w:hint="default" w:ascii="Garamond" w:hAnsi="Garamond" w:cs="Garamond"/>
          <w:i/>
          <w:sz w:val="22"/>
          <w:szCs w:val="22"/>
        </w:rPr>
        <w:t>Jakarta: Balai Penerbit FKUI</w:t>
      </w:r>
      <w:r>
        <w:rPr>
          <w:rFonts w:hint="default" w:ascii="Garamond" w:hAnsi="Garamond" w:cs="Garamond"/>
          <w:sz w:val="22"/>
          <w:szCs w:val="22"/>
        </w:rPr>
        <w:t>, 2009.</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Hidayati, Nunung, Siti Maemunah, and Athoillah Islamy. “Nilai Moderasi Beragama Dalam Orientasi Pendidikan Pesantren Di Indonesia.” </w:t>
      </w:r>
      <w:r>
        <w:rPr>
          <w:rFonts w:hint="default" w:ascii="Garamond" w:hAnsi="Garamond" w:cs="Garamond"/>
          <w:i/>
          <w:sz w:val="22"/>
          <w:szCs w:val="22"/>
        </w:rPr>
        <w:t>Transformasi</w:t>
      </w:r>
      <w:r>
        <w:rPr>
          <w:rFonts w:hint="default" w:ascii="Garamond" w:hAnsi="Garamond" w:cs="Garamond"/>
          <w:sz w:val="22"/>
          <w:szCs w:val="22"/>
        </w:rPr>
        <w:t xml:space="preserve"> 3, no. 2 (2021): 1–17.</w:t>
      </w:r>
    </w:p>
    <w:p>
      <w:pPr>
        <w:pStyle w:val="12"/>
        <w:spacing w:beforeLines="0" w:afterLines="0"/>
        <w:jc w:val="both"/>
        <w:rPr>
          <w:rFonts w:hint="default"/>
        </w:rPr>
      </w:pPr>
      <w:r>
        <w:rPr>
          <w:rFonts w:hint="default" w:ascii="Garamond" w:hAnsi="Garamond" w:cs="Garamond"/>
          <w:sz w:val="22"/>
          <w:szCs w:val="22"/>
          <w:lang w:val="en-US"/>
        </w:rPr>
        <w:t>Husaini, Athoillah Islamy, “Harmonization of Religion and State: Mainstreaming thhe Values of Relgious Moderation in Indonesian Da’wah Orientation,”</w:t>
      </w:r>
      <w:r>
        <w:rPr>
          <w:rFonts w:hint="default" w:ascii="Garamond" w:hAnsi="Garamond" w:cs="Garamond"/>
          <w:i/>
          <w:iCs/>
          <w:sz w:val="22"/>
          <w:szCs w:val="22"/>
          <w:lang w:val="en-US"/>
        </w:rPr>
        <w:t xml:space="preserve"> Jurnal Al-Adalah : Jurnal Hukum dan Politik Islam</w:t>
      </w:r>
      <w:r>
        <w:rPr>
          <w:rFonts w:hint="default" w:ascii="Garamond" w:hAnsi="Garamond" w:cs="Garamond"/>
          <w:sz w:val="22"/>
          <w:szCs w:val="22"/>
          <w:lang w:val="en-US"/>
        </w:rPr>
        <w:t xml:space="preserve"> 7, no.1(2022):57.</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“Huzaemah Tahido Yanggo.” In </w:t>
      </w:r>
      <w:r>
        <w:rPr>
          <w:rFonts w:hint="default" w:ascii="Garamond" w:hAnsi="Garamond" w:cs="Garamond"/>
          <w:i/>
          <w:sz w:val="22"/>
          <w:szCs w:val="22"/>
        </w:rPr>
        <w:t>Wikipedia bahasa Indonesia, ensiklopedia bebas</w:t>
      </w:r>
      <w:r>
        <w:rPr>
          <w:rFonts w:hint="default" w:ascii="Garamond" w:hAnsi="Garamond" w:cs="Garamond"/>
          <w:sz w:val="22"/>
          <w:szCs w:val="22"/>
        </w:rPr>
        <w:t>, October 26, 2021. https://id.wikipedia.org/w/index.php?title=Huzaemah_Tahido_Yanggo&amp;oldid=19317531.</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Ibrahim, Dasuki. </w:t>
      </w:r>
      <w:r>
        <w:rPr>
          <w:rFonts w:hint="default" w:ascii="Garamond" w:hAnsi="Garamond" w:cs="Garamond"/>
          <w:i/>
          <w:sz w:val="22"/>
          <w:szCs w:val="22"/>
        </w:rPr>
        <w:t>Al-Qawa`id Al-Fiqhiyah</w:t>
      </w:r>
      <w:r>
        <w:rPr>
          <w:rFonts w:hint="default" w:ascii="Garamond" w:hAnsi="Garamond" w:cs="Garamond"/>
          <w:sz w:val="22"/>
          <w:szCs w:val="22"/>
        </w:rPr>
        <w:t>. Palembang: Noer Fikri, 2019.</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Islamy, Athoillah. “Gender Mainstreaming Dalam Al-Qur’an Dan Hadis Serta Relevansinya Terhadap Epistemologi Hukum Islam.” </w:t>
      </w:r>
      <w:r>
        <w:rPr>
          <w:rFonts w:hint="default" w:ascii="Garamond" w:hAnsi="Garamond" w:cs="Garamond"/>
          <w:i/>
          <w:sz w:val="22"/>
          <w:szCs w:val="22"/>
        </w:rPr>
        <w:t>Jurnal Hukum Islam</w:t>
      </w:r>
      <w:r>
        <w:rPr>
          <w:rFonts w:hint="default" w:ascii="Garamond" w:hAnsi="Garamond" w:cs="Garamond"/>
          <w:sz w:val="22"/>
          <w:szCs w:val="22"/>
        </w:rPr>
        <w:t xml:space="preserve"> 15, no. 1 (2017): 181–99.</w:t>
      </w:r>
    </w:p>
    <w:p>
      <w:pPr>
        <w:pStyle w:val="12"/>
        <w:spacing w:beforeLines="0" w:afterLines="0"/>
        <w:jc w:val="both"/>
        <w:rPr>
          <w:rFonts w:hint="default"/>
        </w:rPr>
      </w:pPr>
      <w:r>
        <w:rPr>
          <w:rFonts w:hint="default" w:ascii="Garamond" w:hAnsi="Garamond" w:cs="Garamond"/>
          <w:sz w:val="22"/>
          <w:szCs w:val="22"/>
        </w:rPr>
        <w:t xml:space="preserve">———. </w:t>
      </w:r>
      <w:r>
        <w:rPr>
          <w:rFonts w:hint="default" w:ascii="Garamond" w:hAnsi="Garamond" w:cs="Garamond"/>
          <w:sz w:val="22"/>
          <w:szCs w:val="22"/>
          <w:lang w:val="en-US"/>
        </w:rPr>
        <w:t xml:space="preserve"> “Eksistensi Hukum Keluarga Islam di Indonesia dalam Kontestasi Politik Hukum dan Liberalisme Pemikiran Islam,” </w:t>
      </w:r>
      <w:r>
        <w:rPr>
          <w:rFonts w:hint="default" w:ascii="Garamond" w:hAnsi="Garamond" w:cs="Garamond"/>
          <w:i/>
          <w:iCs/>
          <w:sz w:val="22"/>
          <w:szCs w:val="22"/>
          <w:lang w:val="en-US"/>
        </w:rPr>
        <w:t>Al-Istinbath : Jurnal Hukum Islam</w:t>
      </w:r>
      <w:r>
        <w:rPr>
          <w:rFonts w:hint="default" w:ascii="Garamond" w:hAnsi="Garamond" w:cs="Garamond"/>
          <w:sz w:val="22"/>
          <w:szCs w:val="22"/>
          <w:lang w:val="en-US"/>
        </w:rPr>
        <w:t xml:space="preserve"> 4, no.2 (2</w:t>
      </w:r>
      <w:bookmarkStart w:id="1" w:name="_GoBack"/>
      <w:bookmarkEnd w:id="1"/>
      <w:r>
        <w:rPr>
          <w:rFonts w:hint="default" w:ascii="Garamond" w:hAnsi="Garamond" w:cs="Garamond"/>
          <w:sz w:val="22"/>
          <w:szCs w:val="22"/>
          <w:lang w:val="en-US"/>
        </w:rPr>
        <w:t>019): 169-171.</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 “Landasan Filosofis Dan Corak Pendekatan Abdurrahman Wahid Tentang Implementasi Hukum Islam Di Indonesia.” </w:t>
      </w:r>
      <w:r>
        <w:rPr>
          <w:rFonts w:hint="default" w:ascii="Garamond" w:hAnsi="Garamond" w:cs="Garamond"/>
          <w:i/>
          <w:sz w:val="22"/>
          <w:szCs w:val="22"/>
        </w:rPr>
        <w:t>Al-Adalah: Jurnal Hukum Dan Politik Islam</w:t>
      </w:r>
      <w:r>
        <w:rPr>
          <w:rFonts w:hint="default" w:ascii="Garamond" w:hAnsi="Garamond" w:cs="Garamond"/>
          <w:sz w:val="22"/>
          <w:szCs w:val="22"/>
        </w:rPr>
        <w:t xml:space="preserve"> 6, no. 1 (2021): 51–73.</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“‪Pemikiran Hukum Islam Nurcholish Madjid‬.” Disertasi, Pascasarjana Universitas Islam Negeri Walisongo, 2021.</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Khuluq, Muhammad Khusnul. “The Harmonised Shari’ah and Human Rights on Lesbian, Gay, Bisexual and Transgender (LGBT).” </w:t>
      </w:r>
      <w:r>
        <w:rPr>
          <w:rFonts w:hint="default" w:ascii="Garamond" w:hAnsi="Garamond" w:cs="Garamond"/>
          <w:i/>
          <w:sz w:val="22"/>
          <w:szCs w:val="22"/>
        </w:rPr>
        <w:t>Journal of Islamic Legal Studies</w:t>
      </w:r>
      <w:r>
        <w:rPr>
          <w:rFonts w:hint="default" w:ascii="Garamond" w:hAnsi="Garamond" w:cs="Garamond"/>
          <w:sz w:val="22"/>
          <w:szCs w:val="22"/>
        </w:rPr>
        <w:t xml:space="preserve"> 13, no. 1 (2020): 1–23.</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Mansur, Syafi’in. “Homoseksual Dalam Perspektif Agama-Agama Di Indonesia.” </w:t>
      </w:r>
      <w:r>
        <w:rPr>
          <w:rFonts w:hint="default" w:ascii="Garamond" w:hAnsi="Garamond" w:cs="Garamond"/>
          <w:i/>
          <w:sz w:val="22"/>
          <w:szCs w:val="22"/>
        </w:rPr>
        <w:t>Aqlania</w:t>
      </w:r>
      <w:r>
        <w:rPr>
          <w:rFonts w:hint="default" w:ascii="Garamond" w:hAnsi="Garamond" w:cs="Garamond"/>
          <w:sz w:val="22"/>
          <w:szCs w:val="22"/>
        </w:rPr>
        <w:t xml:space="preserve"> 8, no. 01 (2017): 21–60.</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Mudzhar, M. Atho. “Tantangan Studi Hukum Islam Di Indonesia Dewasa Ini.” </w:t>
      </w:r>
      <w:r>
        <w:rPr>
          <w:rFonts w:hint="default" w:ascii="Garamond" w:hAnsi="Garamond" w:cs="Garamond"/>
          <w:i/>
          <w:sz w:val="22"/>
          <w:szCs w:val="22"/>
        </w:rPr>
        <w:t>Jurnal Indo-Islamika</w:t>
      </w:r>
      <w:r>
        <w:rPr>
          <w:rFonts w:hint="default" w:ascii="Garamond" w:hAnsi="Garamond" w:cs="Garamond"/>
          <w:sz w:val="22"/>
          <w:szCs w:val="22"/>
        </w:rPr>
        <w:t xml:space="preserve"> 2, no. 1 (2012): 91–103.</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Muiz, Abdul. “Landasan Dan Fungsi Al-Qawa’id Al-Fiqhiyyah Dalam Problematika Hukum Islam.” </w:t>
      </w:r>
      <w:r>
        <w:rPr>
          <w:rFonts w:hint="default" w:ascii="Garamond" w:hAnsi="Garamond" w:cs="Garamond"/>
          <w:i/>
          <w:sz w:val="22"/>
          <w:szCs w:val="22"/>
        </w:rPr>
        <w:t>Al-Afkar, Journal For Islamic Studies</w:t>
      </w:r>
      <w:r>
        <w:rPr>
          <w:rFonts w:hint="default" w:ascii="Garamond" w:hAnsi="Garamond" w:cs="Garamond"/>
          <w:sz w:val="22"/>
          <w:szCs w:val="22"/>
        </w:rPr>
        <w:t xml:space="preserve"> 3, no. 1, January (2020): 103–14.</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Mulia, Musdah. </w:t>
      </w:r>
      <w:r>
        <w:rPr>
          <w:rFonts w:hint="default" w:ascii="Garamond" w:hAnsi="Garamond" w:cs="Garamond"/>
          <w:i/>
          <w:sz w:val="22"/>
          <w:szCs w:val="22"/>
        </w:rPr>
        <w:t>Membangun Surga Di Bumi; Kiat-Kiat Membina Keluarga Islam Di Bumi</w:t>
      </w:r>
      <w:r>
        <w:rPr>
          <w:rFonts w:hint="default" w:ascii="Garamond" w:hAnsi="Garamond" w:cs="Garamond"/>
          <w:sz w:val="22"/>
          <w:szCs w:val="22"/>
        </w:rPr>
        <w:t>. Jakarta: Quanta, 2011.</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Nafisah, Mamluatun. “Respon Al-Qurâ€</w:t>
      </w:r>
      <w:r>
        <w:rPr>
          <w:rFonts w:hint="default" w:ascii="Garamond" w:hAnsi="Garamond" w:cs="Garamond"/>
          <w:sz w:val="22"/>
          <w:szCs w:val="22"/>
          <w:vertAlign w:val="superscript"/>
        </w:rPr>
        <w:t>TM</w:t>
      </w:r>
      <w:r>
        <w:rPr>
          <w:rFonts w:hint="default" w:ascii="Garamond" w:hAnsi="Garamond" w:cs="Garamond"/>
          <w:sz w:val="22"/>
          <w:szCs w:val="22"/>
        </w:rPr>
        <w:t xml:space="preserve"> an Terhadap Legalitas Kaum LGBT.” </w:t>
      </w:r>
      <w:r>
        <w:rPr>
          <w:rFonts w:hint="default" w:ascii="Garamond" w:hAnsi="Garamond" w:cs="Garamond"/>
          <w:i/>
          <w:sz w:val="22"/>
          <w:szCs w:val="22"/>
        </w:rPr>
        <w:t>Jurnal Studi Al-Qur’an</w:t>
      </w:r>
      <w:r>
        <w:rPr>
          <w:rFonts w:hint="default" w:ascii="Garamond" w:hAnsi="Garamond" w:cs="Garamond"/>
          <w:sz w:val="22"/>
          <w:szCs w:val="22"/>
        </w:rPr>
        <w:t xml:space="preserve"> 15, no. 1 (2019): 77–94.</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“Penyakit Gonorrhea Pada Wanita.” Accessed April 2, 2017. http://www.penyakitmenularseksual.com/penyakit-gonorrhea-pada-wanita.html.</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Rofiah, Nur, Abdul Muid Nawawi, and Ahmad Royhan Firdausy. “Epsitemologi Penafsiran Musdah Mulia Tentang Homoseksual.” </w:t>
      </w:r>
      <w:r>
        <w:rPr>
          <w:rFonts w:hint="default" w:ascii="Garamond" w:hAnsi="Garamond" w:cs="Garamond"/>
          <w:i/>
          <w:sz w:val="22"/>
          <w:szCs w:val="22"/>
        </w:rPr>
        <w:t>Mumtaz: Jurnal Studi Al-Quran Dan Keislaman</w:t>
      </w:r>
      <w:r>
        <w:rPr>
          <w:rFonts w:hint="default" w:ascii="Garamond" w:hAnsi="Garamond" w:cs="Garamond"/>
          <w:sz w:val="22"/>
          <w:szCs w:val="22"/>
        </w:rPr>
        <w:t xml:space="preserve"> 2, no. 2 (2018): 239–66.</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Rönn, Minttu, Peter J. White, Gwenda Hughes, and Helen Ward. “Developing a Conceptual Framework of Seroadaptive Behaviors in HIV-Diagnosed Men Who Have Sex with Men.” </w:t>
      </w:r>
      <w:r>
        <w:rPr>
          <w:rFonts w:hint="default" w:ascii="Garamond" w:hAnsi="Garamond" w:cs="Garamond"/>
          <w:i/>
          <w:sz w:val="22"/>
          <w:szCs w:val="22"/>
        </w:rPr>
        <w:t>The Journal of Infectious Diseases</w:t>
      </w:r>
      <w:r>
        <w:rPr>
          <w:rFonts w:hint="default" w:ascii="Garamond" w:hAnsi="Garamond" w:cs="Garamond"/>
          <w:sz w:val="22"/>
          <w:szCs w:val="22"/>
        </w:rPr>
        <w:t xml:space="preserve"> 210, no. suppl_2 (2014): S586–93.</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Siswanto, Eko, and Athoillah Islamy. “Meninjau Ulang Polemik Formalisasi Hukum Islam Di Indonesia Perspektif Demokrasi Pancasila: Analisis SWOT.” </w:t>
      </w:r>
      <w:r>
        <w:rPr>
          <w:rFonts w:hint="default" w:ascii="Garamond" w:hAnsi="Garamond" w:cs="Garamond"/>
          <w:i/>
          <w:sz w:val="22"/>
          <w:szCs w:val="22"/>
        </w:rPr>
        <w:t>MIYAH: Jurnal Studi Islam</w:t>
      </w:r>
      <w:r>
        <w:rPr>
          <w:rFonts w:hint="default" w:ascii="Garamond" w:hAnsi="Garamond" w:cs="Garamond"/>
          <w:sz w:val="22"/>
          <w:szCs w:val="22"/>
        </w:rPr>
        <w:t xml:space="preserve"> 18, no. 1 (2022): 19–40.</w:t>
      </w:r>
    </w:p>
    <w:p>
      <w:pPr>
        <w:pStyle w:val="12"/>
        <w:spacing w:beforeLines="0" w:afterLines="0"/>
        <w:jc w:val="both"/>
        <w:rPr>
          <w:rFonts w:hint="default" w:ascii="Garamond" w:hAnsi="Garamond" w:cs="Garamond"/>
          <w:sz w:val="22"/>
          <w:szCs w:val="22"/>
        </w:rPr>
      </w:pPr>
      <w:r>
        <w:rPr>
          <w:rFonts w:hint="default" w:ascii="Garamond" w:hAnsi="Garamond" w:cs="Garamond"/>
          <w:sz w:val="22"/>
          <w:szCs w:val="22"/>
        </w:rPr>
        <w:t xml:space="preserve">Yanggo, Huzaemah Tahido. “Penyimpangan Seksual (LGBT) Dalam Pandangan Hukum Islam.” </w:t>
      </w:r>
      <w:r>
        <w:rPr>
          <w:rFonts w:hint="default" w:ascii="Garamond" w:hAnsi="Garamond" w:cs="Garamond"/>
          <w:i/>
          <w:sz w:val="22"/>
          <w:szCs w:val="22"/>
        </w:rPr>
        <w:t>MISYKAT Jurnal Ilmu-Ilmu Al-Quran Hadist Syari Ah Dan Tarbiyah</w:t>
      </w:r>
      <w:r>
        <w:rPr>
          <w:rFonts w:hint="default" w:ascii="Garamond" w:hAnsi="Garamond" w:cs="Garamond"/>
          <w:sz w:val="22"/>
          <w:szCs w:val="22"/>
        </w:rPr>
        <w:t xml:space="preserve"> 3, no. 2 (2018): 1–28.</w:t>
      </w:r>
    </w:p>
    <w:p>
      <w:pPr>
        <w:pStyle w:val="12"/>
        <w:spacing w:beforeLines="0" w:afterLines="0"/>
        <w:jc w:val="both"/>
        <w:rPr>
          <w:rFonts w:hint="default"/>
        </w:rPr>
      </w:pPr>
      <w:r>
        <w:rPr>
          <w:rFonts w:hint="default" w:ascii="Garamond" w:hAnsi="Garamond" w:eastAsia="SimSun" w:cs="Garamond"/>
          <w:b w:val="0"/>
          <w:bCs w:val="0"/>
          <w:color w:val="000000"/>
          <w:kern w:val="0"/>
          <w:sz w:val="22"/>
          <w:szCs w:val="22"/>
          <w:lang w:val="en-US" w:eastAsia="zh-CN" w:bidi="ar"/>
        </w:rPr>
        <w:t xml:space="preserve">Zaman, Mohamad </w:t>
      </w:r>
      <w:r>
        <w:rPr>
          <w:rFonts w:hint="default" w:ascii="Garamond" w:hAnsi="Garamond" w:cs="Garamond"/>
          <w:sz w:val="22"/>
          <w:szCs w:val="22"/>
          <w:lang w:val="en-US" w:eastAsia="zh-CN"/>
        </w:rPr>
        <w:t>Badrun</w:t>
      </w:r>
      <w:r>
        <w:rPr>
          <w:rFonts w:hint="default" w:ascii="Garamond" w:hAnsi="Garamond" w:eastAsia="SimSun" w:cs="Garamond"/>
          <w:b w:val="0"/>
          <w:bCs w:val="0"/>
          <w:color w:val="000000"/>
          <w:kern w:val="0"/>
          <w:sz w:val="22"/>
          <w:szCs w:val="22"/>
          <w:lang w:val="en-US" w:eastAsia="zh-CN" w:bidi="ar"/>
        </w:rPr>
        <w:t xml:space="preserve">, Muhammd Syukri Nawir, Athoillah Islamy, Afina Aninnas, “Harmonisasi Pendidikan Islam danNegara :Pengarustamaan Nilai-Nilai Pancasila Dalam Orientasi Pendidikan Pesantren di Indonesia,” </w:t>
      </w:r>
      <w:r>
        <w:rPr>
          <w:rFonts w:hint="default" w:ascii="Garamond" w:hAnsi="Garamond" w:eastAsia="SimSun" w:cs="Garamond"/>
          <w:b w:val="0"/>
          <w:bCs w:val="0"/>
          <w:i/>
          <w:iCs/>
          <w:color w:val="000000"/>
          <w:kern w:val="0"/>
          <w:sz w:val="22"/>
          <w:szCs w:val="22"/>
          <w:lang w:val="en-US" w:eastAsia="zh-CN" w:bidi="ar"/>
        </w:rPr>
        <w:t xml:space="preserve">Jurnal Tarbawi STAI Al Fithrah </w:t>
      </w:r>
      <w:r>
        <w:rPr>
          <w:rFonts w:hint="default" w:ascii="Garamond" w:hAnsi="Garamond" w:cs="Garamond"/>
          <w:b w:val="0"/>
          <w:bCs w:val="0"/>
          <w:sz w:val="22"/>
          <w:szCs w:val="22"/>
          <w:lang w:val="en-US"/>
        </w:rPr>
        <w:t>10, No.2 (2022):142.</w:t>
      </w:r>
    </w:p>
    <w:p>
      <w:pPr>
        <w:spacing w:beforeLines="0" w:afterLines="0" w:line="360" w:lineRule="auto"/>
        <w:jc w:val="both"/>
        <w:rPr>
          <w:rFonts w:hint="default" w:ascii="Garamond" w:hAnsi="Garamond" w:cs="Garamond"/>
          <w:sz w:val="22"/>
          <w:szCs w:val="22"/>
          <w:lang w:val="id-ID"/>
        </w:rPr>
      </w:pPr>
      <w:r>
        <w:rPr>
          <w:rFonts w:hint="default" w:ascii="Garamond" w:hAnsi="Garamond" w:cs="Garamond"/>
          <w:sz w:val="22"/>
          <w:szCs w:val="22"/>
        </w:rPr>
        <w:fldChar w:fldCharType="end"/>
      </w:r>
    </w:p>
    <w:p>
      <w:pPr>
        <w:spacing w:line="240" w:lineRule="auto"/>
        <w:rPr>
          <w:rFonts w:ascii="Garamond" w:hAnsi="Garamond"/>
          <w:sz w:val="22"/>
          <w:szCs w:val="22"/>
        </w:rPr>
      </w:pPr>
    </w:p>
    <w:p>
      <w:pPr>
        <w:rPr>
          <w:rFonts w:hint="default"/>
        </w:rPr>
      </w:pPr>
    </w:p>
    <w:sectPr>
      <w:footerReference r:id="rId9" w:type="first"/>
      <w:headerReference r:id="rId5" w:type="default"/>
      <w:footerReference r:id="rId7" w:type="default"/>
      <w:headerReference r:id="rId6" w:type="even"/>
      <w:footerReference r:id="rId8" w:type="even"/>
      <w:pgSz w:w="9072" w:h="13608"/>
      <w:pgMar w:top="1418" w:right="1134" w:bottom="1418" w:left="1418" w:header="720" w:footer="720"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Kozuka Mincho Pro L">
    <w:altName w:val="Yu Gothic"/>
    <w:panose1 w:val="00000000000000000000"/>
    <w:charset w:val="80"/>
    <w:family w:val="roman"/>
    <w:pitch w:val="default"/>
    <w:sig w:usb0="00000000" w:usb1="00000000" w:usb2="00000012" w:usb3="00000000" w:csb0="00020005" w:csb1="00000000"/>
  </w:font>
  <w:font w:name="Yu Gothic">
    <w:panose1 w:val="020B0400000000000000"/>
    <w:charset w:val="80"/>
    <w:family w:val="auto"/>
    <w:pitch w:val="default"/>
    <w:sig w:usb0="E00002FF" w:usb1="2AC7FDFF" w:usb2="00000016" w:usb3="00000000" w:csb0="2002009F" w:csb1="00000000"/>
  </w:font>
  <w:font w:name="Angsana New">
    <w:altName w:val="Microsoft Sans Serif"/>
    <w:panose1 w:val="02020603050405020304"/>
    <w:charset w:val="DE"/>
    <w:family w:val="roman"/>
    <w:pitch w:val="default"/>
    <w:sig w:usb0="00000000" w:usb1="00000000" w:usb2="00000000" w:usb3="00000000" w:csb0="00010000" w:csb1="00000000"/>
  </w:font>
  <w:font w:name="Microsoft Sans Serif">
    <w:panose1 w:val="020B0604020202020204"/>
    <w:charset w:val="00"/>
    <w:family w:val="auto"/>
    <w:pitch w:val="default"/>
    <w:sig w:usb0="E5002EFF" w:usb1="C000605B" w:usb2="00000029" w:usb3="00000000" w:csb0="200101FF" w:csb1="20280000"/>
  </w:font>
  <w:font w:name="Kozuka Mincho Pro EL">
    <w:altName w:val="Yu Gothic"/>
    <w:panose1 w:val="00000000000000000000"/>
    <w:charset w:val="80"/>
    <w:family w:val="roman"/>
    <w:pitch w:val="default"/>
    <w:sig w:usb0="00000000" w:usb1="00000000" w:usb2="00000012" w:usb3="00000000" w:csb0="00020005" w:csb1="00000000"/>
  </w:font>
  <w:font w:name="Palatino Linotype">
    <w:panose1 w:val="02040502050505030304"/>
    <w:charset w:val="00"/>
    <w:family w:val="roman"/>
    <w:pitch w:val="default"/>
    <w:sig w:usb0="E0000287" w:usb1="40000013" w:usb2="00000000" w:usb3="00000000" w:csb0="2000019F" w:csb1="00000000"/>
  </w:font>
  <w:font w:name="Californian FB">
    <w:panose1 w:val="0207040306080B0302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g">
          <w:drawing>
            <wp:anchor distT="0" distB="0" distL="114300" distR="114300" simplePos="0" relativeHeight="251662336" behindDoc="0" locked="0" layoutInCell="1" allowOverlap="1">
              <wp:simplePos x="0" y="0"/>
              <wp:positionH relativeFrom="column">
                <wp:posOffset>904875</wp:posOffset>
              </wp:positionH>
              <wp:positionV relativeFrom="paragraph">
                <wp:posOffset>-52705</wp:posOffset>
              </wp:positionV>
              <wp:extent cx="3325495" cy="300990"/>
              <wp:effectExtent l="0" t="0" r="0" b="0"/>
              <wp:wrapNone/>
              <wp:docPr id="3" name="Group 3"/>
              <wp:cNvGraphicFramePr/>
              <a:graphic xmlns:a="http://schemas.openxmlformats.org/drawingml/2006/main">
                <a:graphicData uri="http://schemas.microsoft.com/office/word/2010/wordprocessingGroup">
                  <wpg:wgp>
                    <wpg:cNvGrpSpPr/>
                    <wpg:grpSpPr>
                      <a:xfrm>
                        <a:off x="0" y="0"/>
                        <a:ext cx="3325495" cy="300990"/>
                        <a:chOff x="2843" y="12364"/>
                        <a:chExt cx="5237" cy="474"/>
                      </a:xfrm>
                    </wpg:grpSpPr>
                    <wps:wsp>
                      <wps:cNvPr id="1" name="Text Box 1"/>
                      <wps:cNvSpPr txBox="1"/>
                      <wps:spPr>
                        <a:xfrm>
                          <a:off x="2843" y="12404"/>
                          <a:ext cx="4747" cy="346"/>
                        </a:xfrm>
                        <a:prstGeom prst="rect">
                          <a:avLst/>
                        </a:prstGeom>
                        <a:noFill/>
                        <a:ln>
                          <a:noFill/>
                        </a:ln>
                      </wps:spPr>
                      <wps:txbx>
                        <w:txbxContent>
                          <w:p>
                            <w:pPr>
                              <w:jc w:val="right"/>
                              <w:rPr>
                                <w:rFonts w:ascii="Californian FB" w:hAnsi="Californian FB"/>
                                <w:sz w:val="16"/>
                                <w:szCs w:val="16"/>
                              </w:rPr>
                            </w:pPr>
                            <w:r>
                              <w:rPr>
                                <w:rFonts w:ascii="Californian FB" w:hAnsi="Californian FB"/>
                                <w:sz w:val="16"/>
                                <w:szCs w:val="16"/>
                              </w:rPr>
                              <w:t>Volume 1</w:t>
                            </w:r>
                            <w:r>
                              <w:rPr>
                                <w:rFonts w:hint="default" w:ascii="Californian FB" w:hAnsi="Californian FB"/>
                                <w:sz w:val="16"/>
                                <w:szCs w:val="16"/>
                                <w:lang w:val="en-US"/>
                              </w:rPr>
                              <w:t>8</w:t>
                            </w:r>
                            <w:r>
                              <w:rPr>
                                <w:rFonts w:ascii="Californian FB" w:hAnsi="Californian FB"/>
                                <w:sz w:val="16"/>
                                <w:szCs w:val="16"/>
                              </w:rPr>
                              <w:t>, Nomor 01, AJanuari 20</w:t>
                            </w:r>
                            <w:r>
                              <w:rPr>
                                <w:rFonts w:hint="default" w:ascii="Californian FB" w:hAnsi="Californian FB"/>
                                <w:sz w:val="16"/>
                                <w:szCs w:val="16"/>
                                <w:lang w:val="en-US"/>
                              </w:rPr>
                              <w:t>22</w:t>
                            </w:r>
                            <w:r>
                              <w:rPr>
                                <w:rFonts w:ascii="Californian FB" w:hAnsi="Californian FB"/>
                                <w:sz w:val="16"/>
                                <w:szCs w:val="16"/>
                              </w:rPr>
                              <w:t>, MIYAH</w:t>
                            </w:r>
                          </w:p>
                        </w:txbxContent>
                      </wps:txbx>
                      <wps:bodyPr upright="1"/>
                    </wps:wsp>
                    <wps:wsp>
                      <wps:cNvPr id="2" name="Text Box 2"/>
                      <wps:cNvSpPr txBox="1"/>
                      <wps:spPr>
                        <a:xfrm>
                          <a:off x="7298" y="12364"/>
                          <a:ext cx="782" cy="474"/>
                        </a:xfrm>
                        <a:prstGeom prst="rect">
                          <a:avLst/>
                        </a:prstGeom>
                        <a:noFill/>
                        <a:ln>
                          <a:noFill/>
                        </a:ln>
                      </wps:spPr>
                      <wps:txbx>
                        <w:txbxContent>
                          <w:p>
                            <w:pPr>
                              <w:jc w:val="right"/>
                              <w:rPr>
                                <w:rFonts w:ascii="Californian FB" w:hAnsi="Californian FB"/>
                                <w:sz w:val="20"/>
                                <w:szCs w:val="20"/>
                              </w:rPr>
                            </w:pPr>
                            <w:r>
                              <w:rPr>
                                <w:rStyle w:val="9"/>
                                <w:rFonts w:ascii="Californian FB" w:hAnsi="Californian FB" w:cs="Angsana New"/>
                                <w:sz w:val="20"/>
                                <w:szCs w:val="20"/>
                              </w:rPr>
                              <w:t xml:space="preserve"> </w:t>
                            </w:r>
                            <w:r>
                              <w:rPr>
                                <w:rStyle w:val="9"/>
                                <w:rFonts w:ascii="Californian FB" w:hAnsi="Californian FB" w:cs="Angsana New"/>
                                <w:sz w:val="20"/>
                                <w:szCs w:val="20"/>
                              </w:rPr>
                              <w:fldChar w:fldCharType="begin"/>
                            </w:r>
                            <w:r>
                              <w:rPr>
                                <w:rStyle w:val="9"/>
                                <w:rFonts w:ascii="Californian FB" w:hAnsi="Californian FB" w:cs="Angsana New"/>
                                <w:sz w:val="20"/>
                                <w:szCs w:val="20"/>
                              </w:rPr>
                              <w:instrText xml:space="preserve"> PAGE </w:instrText>
                            </w:r>
                            <w:r>
                              <w:rPr>
                                <w:rStyle w:val="9"/>
                                <w:rFonts w:ascii="Californian FB" w:hAnsi="Californian FB" w:cs="Angsana New"/>
                                <w:sz w:val="20"/>
                                <w:szCs w:val="20"/>
                              </w:rPr>
                              <w:fldChar w:fldCharType="separate"/>
                            </w:r>
                            <w:r>
                              <w:rPr>
                                <w:rStyle w:val="9"/>
                                <w:rFonts w:ascii="Californian FB" w:hAnsi="Californian FB" w:cs="Angsana New"/>
                                <w:sz w:val="20"/>
                                <w:szCs w:val="20"/>
                              </w:rPr>
                              <w:t>11</w:t>
                            </w:r>
                            <w:r>
                              <w:rPr>
                                <w:rStyle w:val="9"/>
                                <w:rFonts w:ascii="Californian FB" w:hAnsi="Californian FB" w:cs="Angsana New"/>
                                <w:sz w:val="20"/>
                                <w:szCs w:val="20"/>
                              </w:rPr>
                              <w:fldChar w:fldCharType="end"/>
                            </w:r>
                          </w:p>
                        </w:txbxContent>
                      </wps:txbx>
                      <wps:bodyPr upright="1"/>
                    </wps:wsp>
                  </wpg:wgp>
                </a:graphicData>
              </a:graphic>
            </wp:anchor>
          </w:drawing>
        </mc:Choice>
        <mc:Fallback>
          <w:pict>
            <v:group id="_x0000_s1026" o:spid="_x0000_s1026" o:spt="203" style="position:absolute;left:0pt;margin-left:71.25pt;margin-top:-4.15pt;height:23.7pt;width:261.85pt;z-index:251662336;mso-width-relative:page;mso-height-relative:page;" coordorigin="2843,12364" coordsize="5237,474" o:gfxdata="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U00hNoAAAAJAQAADwAAAAAAAAABACAAAAAiAAAAZHJzL2Rvd25yZXYueG1s&#10;UEsBAhQAFAAAAAgAh07iQP+OIg0vAgAA7AUAAA4AAAAAAAAAAQAgAAAAKQEAAGRycy9lMm9Eb2Mu&#10;eG1sUEsFBgAAAAAGAAYAWQEAAMoFAAAAAA==&#10;">
              <o:lock v:ext="edit" aspectratio="f"/>
              <v:shape id="_x0000_s1026" o:spid="_x0000_s1026" o:spt="202" type="#_x0000_t202" style="position:absolute;left:2843;top:12404;height:346;width:4747;" filled="f" stroked="f" coordsize="21600,21600" o:gfxdata="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avkM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jc w:val="right"/>
                        <w:rPr>
                          <w:rFonts w:ascii="Californian FB" w:hAnsi="Californian FB"/>
                          <w:sz w:val="16"/>
                          <w:szCs w:val="16"/>
                        </w:rPr>
                      </w:pPr>
                      <w:r>
                        <w:rPr>
                          <w:rFonts w:ascii="Californian FB" w:hAnsi="Californian FB"/>
                          <w:sz w:val="16"/>
                          <w:szCs w:val="16"/>
                        </w:rPr>
                        <w:t>Volume 1</w:t>
                      </w:r>
                      <w:r>
                        <w:rPr>
                          <w:rFonts w:hint="default" w:ascii="Californian FB" w:hAnsi="Californian FB"/>
                          <w:sz w:val="16"/>
                          <w:szCs w:val="16"/>
                          <w:lang w:val="en-US"/>
                        </w:rPr>
                        <w:t>8</w:t>
                      </w:r>
                      <w:r>
                        <w:rPr>
                          <w:rFonts w:ascii="Californian FB" w:hAnsi="Californian FB"/>
                          <w:sz w:val="16"/>
                          <w:szCs w:val="16"/>
                        </w:rPr>
                        <w:t>, Nomor 01, AJanuari 20</w:t>
                      </w:r>
                      <w:r>
                        <w:rPr>
                          <w:rFonts w:hint="default" w:ascii="Californian FB" w:hAnsi="Californian FB"/>
                          <w:sz w:val="16"/>
                          <w:szCs w:val="16"/>
                          <w:lang w:val="en-US"/>
                        </w:rPr>
                        <w:t>22</w:t>
                      </w:r>
                      <w:r>
                        <w:rPr>
                          <w:rFonts w:ascii="Californian FB" w:hAnsi="Californian FB"/>
                          <w:sz w:val="16"/>
                          <w:szCs w:val="16"/>
                        </w:rPr>
                        <w:t>, MIYAH</w:t>
                      </w:r>
                    </w:p>
                  </w:txbxContent>
                </v:textbox>
              </v:shape>
              <v:shape id="_x0000_s1026" o:spid="_x0000_s1026" o:spt="202" type="#_x0000_t202" style="position:absolute;left:7298;top:12364;height:474;width:782;" filled="f" stroked="f" coordsize="21600,21600" o:gfxdata="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4Z3u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right"/>
                        <w:rPr>
                          <w:rFonts w:ascii="Californian FB" w:hAnsi="Californian FB"/>
                          <w:sz w:val="20"/>
                          <w:szCs w:val="20"/>
                        </w:rPr>
                      </w:pPr>
                      <w:r>
                        <w:rPr>
                          <w:rStyle w:val="9"/>
                          <w:rFonts w:ascii="Californian FB" w:hAnsi="Californian FB" w:cs="Angsana New"/>
                          <w:sz w:val="20"/>
                          <w:szCs w:val="20"/>
                        </w:rPr>
                        <w:t xml:space="preserve"> </w:t>
                      </w:r>
                      <w:r>
                        <w:rPr>
                          <w:rStyle w:val="9"/>
                          <w:rFonts w:ascii="Californian FB" w:hAnsi="Californian FB" w:cs="Angsana New"/>
                          <w:sz w:val="20"/>
                          <w:szCs w:val="20"/>
                        </w:rPr>
                        <w:fldChar w:fldCharType="begin"/>
                      </w:r>
                      <w:r>
                        <w:rPr>
                          <w:rStyle w:val="9"/>
                          <w:rFonts w:ascii="Californian FB" w:hAnsi="Californian FB" w:cs="Angsana New"/>
                          <w:sz w:val="20"/>
                          <w:szCs w:val="20"/>
                        </w:rPr>
                        <w:instrText xml:space="preserve"> PAGE </w:instrText>
                      </w:r>
                      <w:r>
                        <w:rPr>
                          <w:rStyle w:val="9"/>
                          <w:rFonts w:ascii="Californian FB" w:hAnsi="Californian FB" w:cs="Angsana New"/>
                          <w:sz w:val="20"/>
                          <w:szCs w:val="20"/>
                        </w:rPr>
                        <w:fldChar w:fldCharType="separate"/>
                      </w:r>
                      <w:r>
                        <w:rPr>
                          <w:rStyle w:val="9"/>
                          <w:rFonts w:ascii="Californian FB" w:hAnsi="Californian FB" w:cs="Angsana New"/>
                          <w:sz w:val="20"/>
                          <w:szCs w:val="20"/>
                        </w:rPr>
                        <w:t>11</w:t>
                      </w:r>
                      <w:r>
                        <w:rPr>
                          <w:rStyle w:val="9"/>
                          <w:rFonts w:ascii="Californian FB" w:hAnsi="Californian FB" w:cs="Angsana New"/>
                          <w:sz w:val="20"/>
                          <w:szCs w:val="20"/>
                        </w:rPr>
                        <w:fldChar w:fldCharType="end"/>
                      </w:r>
                    </w:p>
                  </w:txbxContent>
                </v:textbox>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g">
          <w:drawing>
            <wp:anchor distT="0" distB="0" distL="114300" distR="114300" simplePos="0" relativeHeight="251660288" behindDoc="0" locked="0" layoutInCell="1" allowOverlap="1">
              <wp:simplePos x="0" y="0"/>
              <wp:positionH relativeFrom="column">
                <wp:posOffset>-88900</wp:posOffset>
              </wp:positionH>
              <wp:positionV relativeFrom="paragraph">
                <wp:posOffset>-52705</wp:posOffset>
              </wp:positionV>
              <wp:extent cx="3322320" cy="300990"/>
              <wp:effectExtent l="0" t="0" r="0" b="0"/>
              <wp:wrapNone/>
              <wp:docPr id="8" name="Group 8"/>
              <wp:cNvGraphicFramePr/>
              <a:graphic xmlns:a="http://schemas.openxmlformats.org/drawingml/2006/main">
                <a:graphicData uri="http://schemas.microsoft.com/office/word/2010/wordprocessingGroup">
                  <wpg:wgp>
                    <wpg:cNvGrpSpPr/>
                    <wpg:grpSpPr>
                      <a:xfrm>
                        <a:off x="0" y="0"/>
                        <a:ext cx="3322320" cy="300990"/>
                        <a:chOff x="1278" y="12406"/>
                        <a:chExt cx="5232" cy="474"/>
                      </a:xfrm>
                    </wpg:grpSpPr>
                    <wps:wsp>
                      <wps:cNvPr id="6" name="Text Box 6"/>
                      <wps:cNvSpPr txBox="1"/>
                      <wps:spPr>
                        <a:xfrm>
                          <a:off x="1763" y="12444"/>
                          <a:ext cx="4747" cy="346"/>
                        </a:xfrm>
                        <a:prstGeom prst="rect">
                          <a:avLst/>
                        </a:prstGeom>
                        <a:noFill/>
                        <a:ln>
                          <a:noFill/>
                        </a:ln>
                      </wps:spPr>
                      <wps:txbx>
                        <w:txbxContent>
                          <w:p>
                            <w:pPr>
                              <w:rPr>
                                <w:rFonts w:ascii="Californian FB" w:hAnsi="Californian FB" w:cs="Tahoma"/>
                                <w:sz w:val="16"/>
                                <w:szCs w:val="16"/>
                                <w:rtl/>
                                <w:cs/>
                              </w:rPr>
                            </w:pPr>
                            <w:r>
                              <w:rPr>
                                <w:rFonts w:ascii="Californian FB" w:hAnsi="Californian FB" w:cs="Tahoma"/>
                                <w:sz w:val="16"/>
                                <w:szCs w:val="16"/>
                              </w:rPr>
                              <w:t>MIYAH, Volume 1</w:t>
                            </w:r>
                            <w:r>
                              <w:rPr>
                                <w:rFonts w:hint="default" w:ascii="Californian FB" w:hAnsi="Californian FB" w:cs="Tahoma"/>
                                <w:sz w:val="16"/>
                                <w:szCs w:val="16"/>
                                <w:lang w:val="en-US"/>
                              </w:rPr>
                              <w:t>8</w:t>
                            </w:r>
                            <w:r>
                              <w:rPr>
                                <w:rFonts w:ascii="Californian FB" w:hAnsi="Californian FB" w:cs="Tahoma"/>
                                <w:sz w:val="16"/>
                                <w:szCs w:val="16"/>
                              </w:rPr>
                              <w:t>, Nomor 01, Januari 20</w:t>
                            </w:r>
                            <w:r>
                              <w:rPr>
                                <w:rFonts w:hint="default" w:ascii="Californian FB" w:hAnsi="Californian FB" w:cs="Tahoma"/>
                                <w:sz w:val="16"/>
                                <w:szCs w:val="16"/>
                                <w:lang w:val="en-US"/>
                              </w:rPr>
                              <w:t>22</w:t>
                            </w:r>
                          </w:p>
                        </w:txbxContent>
                      </wps:txbx>
                      <wps:bodyPr upright="1"/>
                    </wps:wsp>
                    <wps:wsp>
                      <wps:cNvPr id="7" name="Text Box 7"/>
                      <wps:cNvSpPr txBox="1"/>
                      <wps:spPr>
                        <a:xfrm>
                          <a:off x="1278" y="12406"/>
                          <a:ext cx="782" cy="474"/>
                        </a:xfrm>
                        <a:prstGeom prst="rect">
                          <a:avLst/>
                        </a:prstGeom>
                        <a:noFill/>
                        <a:ln>
                          <a:noFill/>
                        </a:ln>
                      </wps:spPr>
                      <wps:txbx>
                        <w:txbxContent>
                          <w:p>
                            <w:pPr>
                              <w:rPr>
                                <w:rFonts w:ascii="Californian FB" w:hAnsi="Californian FB"/>
                                <w:sz w:val="20"/>
                                <w:szCs w:val="20"/>
                              </w:rPr>
                            </w:pPr>
                            <w:r>
                              <w:rPr>
                                <w:rStyle w:val="9"/>
                                <w:rFonts w:ascii="Californian FB" w:hAnsi="Californian FB" w:cs="Angsana New"/>
                                <w:sz w:val="20"/>
                                <w:szCs w:val="20"/>
                              </w:rPr>
                              <w:fldChar w:fldCharType="begin"/>
                            </w:r>
                            <w:r>
                              <w:rPr>
                                <w:rStyle w:val="9"/>
                                <w:rFonts w:ascii="Californian FB" w:hAnsi="Californian FB" w:cs="Angsana New"/>
                                <w:sz w:val="20"/>
                                <w:szCs w:val="20"/>
                              </w:rPr>
                              <w:instrText xml:space="preserve"> PAGE </w:instrText>
                            </w:r>
                            <w:r>
                              <w:rPr>
                                <w:rStyle w:val="9"/>
                                <w:rFonts w:ascii="Californian FB" w:hAnsi="Californian FB" w:cs="Angsana New"/>
                                <w:sz w:val="20"/>
                                <w:szCs w:val="20"/>
                              </w:rPr>
                              <w:fldChar w:fldCharType="separate"/>
                            </w:r>
                            <w:r>
                              <w:rPr>
                                <w:rStyle w:val="9"/>
                                <w:rFonts w:ascii="Californian FB" w:hAnsi="Californian FB" w:cs="Angsana New"/>
                                <w:sz w:val="20"/>
                                <w:szCs w:val="20"/>
                              </w:rPr>
                              <w:t>10</w:t>
                            </w:r>
                            <w:r>
                              <w:rPr>
                                <w:rStyle w:val="9"/>
                                <w:rFonts w:ascii="Californian FB" w:hAnsi="Californian FB" w:cs="Angsana New"/>
                                <w:sz w:val="20"/>
                                <w:szCs w:val="20"/>
                              </w:rPr>
                              <w:fldChar w:fldCharType="end"/>
                            </w:r>
                          </w:p>
                        </w:txbxContent>
                      </wps:txbx>
                      <wps:bodyPr upright="1"/>
                    </wps:wsp>
                  </wpg:wgp>
                </a:graphicData>
              </a:graphic>
            </wp:anchor>
          </w:drawing>
        </mc:Choice>
        <mc:Fallback>
          <w:pict>
            <v:group id="_x0000_s1026" o:spid="_x0000_s1026" o:spt="203" style="position:absolute;left:0pt;margin-left:-7pt;margin-top:-4.15pt;height:23.7pt;width:261.6pt;z-index:251660288;mso-width-relative:page;mso-height-relative:page;" coordorigin="1278,12406" coordsize="5232,474" o:gfxdata="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oUhc2gAAAAkBAAAPAAAAAAAAAAEAIAAAACIAAABkcnMvZG93bnJldi54bWxQSwEC&#10;FAAUAAAACACHTuJAsfg0eCsCAADsBQAADgAAAAAAAAABACAAAAApAQAAZHJzL2Uyb0RvYy54bWxQ&#10;SwUGAAAAAAYABgBZAQAAxgUAAAAA&#10;">
              <o:lock v:ext="edit" aspectratio="f"/>
              <v:shape id="_x0000_s1026" o:spid="_x0000_s1026" o:spt="202" type="#_x0000_t202" style="position:absolute;left:1763;top:12444;height:346;width:4747;"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ascii="Californian FB" w:hAnsi="Californian FB" w:cs="Tahoma"/>
                          <w:sz w:val="16"/>
                          <w:szCs w:val="16"/>
                          <w:rtl/>
                          <w:cs/>
                        </w:rPr>
                      </w:pPr>
                      <w:r>
                        <w:rPr>
                          <w:rFonts w:ascii="Californian FB" w:hAnsi="Californian FB" w:cs="Tahoma"/>
                          <w:sz w:val="16"/>
                          <w:szCs w:val="16"/>
                        </w:rPr>
                        <w:t>MIYAH, Volume 1</w:t>
                      </w:r>
                      <w:r>
                        <w:rPr>
                          <w:rFonts w:hint="default" w:ascii="Californian FB" w:hAnsi="Californian FB" w:cs="Tahoma"/>
                          <w:sz w:val="16"/>
                          <w:szCs w:val="16"/>
                          <w:lang w:val="en-US"/>
                        </w:rPr>
                        <w:t>8</w:t>
                      </w:r>
                      <w:r>
                        <w:rPr>
                          <w:rFonts w:ascii="Californian FB" w:hAnsi="Californian FB" w:cs="Tahoma"/>
                          <w:sz w:val="16"/>
                          <w:szCs w:val="16"/>
                        </w:rPr>
                        <w:t>, Nomor 01, Januari 20</w:t>
                      </w:r>
                      <w:r>
                        <w:rPr>
                          <w:rFonts w:hint="default" w:ascii="Californian FB" w:hAnsi="Californian FB" w:cs="Tahoma"/>
                          <w:sz w:val="16"/>
                          <w:szCs w:val="16"/>
                          <w:lang w:val="en-US"/>
                        </w:rPr>
                        <w:t>22</w:t>
                      </w:r>
                    </w:p>
                  </w:txbxContent>
                </v:textbox>
              </v:shape>
              <v:shape id="_x0000_s1026" o:spid="_x0000_s1026" o:spt="202" type="#_x0000_t202" style="position:absolute;left:1278;top:12406;height:474;width:782;"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rFonts w:ascii="Californian FB" w:hAnsi="Californian FB"/>
                          <w:sz w:val="20"/>
                          <w:szCs w:val="20"/>
                        </w:rPr>
                      </w:pPr>
                      <w:r>
                        <w:rPr>
                          <w:rStyle w:val="9"/>
                          <w:rFonts w:ascii="Californian FB" w:hAnsi="Californian FB" w:cs="Angsana New"/>
                          <w:sz w:val="20"/>
                          <w:szCs w:val="20"/>
                        </w:rPr>
                        <w:fldChar w:fldCharType="begin"/>
                      </w:r>
                      <w:r>
                        <w:rPr>
                          <w:rStyle w:val="9"/>
                          <w:rFonts w:ascii="Californian FB" w:hAnsi="Californian FB" w:cs="Angsana New"/>
                          <w:sz w:val="20"/>
                          <w:szCs w:val="20"/>
                        </w:rPr>
                        <w:instrText xml:space="preserve"> PAGE </w:instrText>
                      </w:r>
                      <w:r>
                        <w:rPr>
                          <w:rStyle w:val="9"/>
                          <w:rFonts w:ascii="Californian FB" w:hAnsi="Californian FB" w:cs="Angsana New"/>
                          <w:sz w:val="20"/>
                          <w:szCs w:val="20"/>
                        </w:rPr>
                        <w:fldChar w:fldCharType="separate"/>
                      </w:r>
                      <w:r>
                        <w:rPr>
                          <w:rStyle w:val="9"/>
                          <w:rFonts w:ascii="Californian FB" w:hAnsi="Californian FB" w:cs="Angsana New"/>
                          <w:sz w:val="20"/>
                          <w:szCs w:val="20"/>
                        </w:rPr>
                        <w:t>10</w:t>
                      </w:r>
                      <w:r>
                        <w:rPr>
                          <w:rStyle w:val="9"/>
                          <w:rFonts w:ascii="Californian FB" w:hAnsi="Californian FB" w:cs="Angsana New"/>
                          <w:sz w:val="20"/>
                          <w:szCs w:val="20"/>
                        </w:rPr>
                        <w:fldChar w:fldCharType="end"/>
                      </w:r>
                    </w:p>
                  </w:txbxContent>
                </v:textbox>
              </v:shap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3360" behindDoc="0" locked="0" layoutInCell="1" allowOverlap="1">
              <wp:simplePos x="0" y="0"/>
              <wp:positionH relativeFrom="column">
                <wp:posOffset>13970</wp:posOffset>
              </wp:positionH>
              <wp:positionV relativeFrom="paragraph">
                <wp:posOffset>-48260</wp:posOffset>
              </wp:positionV>
              <wp:extent cx="4048125" cy="321310"/>
              <wp:effectExtent l="0" t="0" r="0" b="0"/>
              <wp:wrapNone/>
              <wp:docPr id="23" name="Text Box 23"/>
              <wp:cNvGraphicFramePr/>
              <a:graphic xmlns:a="http://schemas.openxmlformats.org/drawingml/2006/main">
                <a:graphicData uri="http://schemas.microsoft.com/office/word/2010/wordprocessingShape">
                  <wps:wsp>
                    <wps:cNvSpPr txBox="1">
                      <a:spLocks noChangeArrowheads="1"/>
                    </wps:cNvSpPr>
                    <wps:spPr bwMode="auto">
                      <a:xfrm>
                        <a:off x="0" y="0"/>
                        <a:ext cx="4048125" cy="321310"/>
                      </a:xfrm>
                      <a:prstGeom prst="rect">
                        <a:avLst/>
                      </a:prstGeom>
                      <a:noFill/>
                      <a:ln>
                        <a:noFill/>
                      </a:ln>
                      <a:effectLst/>
                    </wps:spPr>
                    <wps:txbx>
                      <w:txbxContent>
                        <w:p>
                          <w:pPr>
                            <w:jc w:val="center"/>
                            <w:rPr>
                              <w:rFonts w:ascii="Garamond" w:hAnsi="Garamond"/>
                              <w:sz w:val="16"/>
                              <w:szCs w:val="16"/>
                            </w:rPr>
                          </w:pPr>
                          <w:r>
                            <w:rPr>
                              <w:rFonts w:ascii="Garamond" w:hAnsi="Garamond"/>
                              <w:sz w:val="16"/>
                              <w:szCs w:val="16"/>
                            </w:rPr>
                            <w:t>MIYAH: Jurnal Studi Islam</w:t>
                          </w:r>
                        </w:p>
                        <w:p>
                          <w:pPr>
                            <w:jc w:val="center"/>
                            <w:rPr>
                              <w:rFonts w:hint="default" w:ascii="Garamond" w:hAnsi="Garamond"/>
                              <w:sz w:val="16"/>
                              <w:szCs w:val="16"/>
                              <w:lang w:val="en-US"/>
                            </w:rPr>
                          </w:pPr>
                          <w:r>
                            <w:rPr>
                              <w:rFonts w:ascii="Garamond" w:hAnsi="Garamond"/>
                              <w:sz w:val="16"/>
                              <w:szCs w:val="16"/>
                            </w:rPr>
                            <w:t>Volume 1</w:t>
                          </w:r>
                          <w:r>
                            <w:rPr>
                              <w:rFonts w:hint="default" w:ascii="Garamond" w:hAnsi="Garamond"/>
                              <w:sz w:val="16"/>
                              <w:szCs w:val="16"/>
                              <w:lang w:val="en-US"/>
                            </w:rPr>
                            <w:t>8</w:t>
                          </w:r>
                          <w:r>
                            <w:rPr>
                              <w:rFonts w:ascii="Garamond" w:hAnsi="Garamond"/>
                              <w:sz w:val="16"/>
                              <w:szCs w:val="16"/>
                            </w:rPr>
                            <w:t>, Nomor 01, Januari 20</w:t>
                          </w:r>
                          <w:r>
                            <w:rPr>
                              <w:rFonts w:hint="default" w:ascii="Garamond" w:hAnsi="Garamond"/>
                              <w:sz w:val="16"/>
                              <w:szCs w:val="16"/>
                              <w:lang w:val="en-US"/>
                            </w:rPr>
                            <w:t>22</w:t>
                          </w:r>
                          <w:r>
                            <w:rPr>
                              <w:rFonts w:ascii="Garamond" w:hAnsi="Garamond"/>
                              <w:sz w:val="16"/>
                              <w:szCs w:val="16"/>
                            </w:rPr>
                            <w:t>; p-ISSN: 1907-3452; e-ISSN: 2540-7732; 01-</w:t>
                          </w:r>
                          <w:r>
                            <w:rPr>
                              <w:rFonts w:hint="default" w:ascii="Garamond" w:hAnsi="Garamond"/>
                              <w:sz w:val="16"/>
                              <w:szCs w:val="16"/>
                              <w:lang w:val="en-US"/>
                            </w:rPr>
                            <w:t>21</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pt;margin-top:-3.8pt;height:25.3pt;width:318.75pt;z-index:251663360;mso-width-relative:page;mso-height-relative:page;" filled="f" stroked="f" coordsize="21600,21600" o:gfxdata="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Zy1ZjVAAAABwEAAA8AAAAAAAAAAQAgAAAA&#10;IgAAAGRycy9kb3ducmV2LnhtbFBLAQIUABQAAAAIAIdO4kAgLO+/DgIAACQEAAAOAAAAAAAAAAEA&#10;IAAAACQBAABkcnMvZTJvRG9jLnhtbFBLBQYAAAAABgAGAFkBAACkBQAAAAA=&#10;">
              <v:fill on="f" focussize="0,0"/>
              <v:stroke on="f"/>
              <v:imagedata o:title=""/>
              <o:lock v:ext="edit" aspectratio="f"/>
              <v:textbox>
                <w:txbxContent>
                  <w:p>
                    <w:pPr>
                      <w:jc w:val="center"/>
                      <w:rPr>
                        <w:rFonts w:ascii="Garamond" w:hAnsi="Garamond"/>
                        <w:sz w:val="16"/>
                        <w:szCs w:val="16"/>
                      </w:rPr>
                    </w:pPr>
                    <w:r>
                      <w:rPr>
                        <w:rFonts w:ascii="Garamond" w:hAnsi="Garamond"/>
                        <w:sz w:val="16"/>
                        <w:szCs w:val="16"/>
                      </w:rPr>
                      <w:t>MIYAH: Jurnal Studi Islam</w:t>
                    </w:r>
                  </w:p>
                  <w:p>
                    <w:pPr>
                      <w:jc w:val="center"/>
                      <w:rPr>
                        <w:rFonts w:hint="default" w:ascii="Garamond" w:hAnsi="Garamond"/>
                        <w:sz w:val="16"/>
                        <w:szCs w:val="16"/>
                        <w:lang w:val="en-US"/>
                      </w:rPr>
                    </w:pPr>
                    <w:r>
                      <w:rPr>
                        <w:rFonts w:ascii="Garamond" w:hAnsi="Garamond"/>
                        <w:sz w:val="16"/>
                        <w:szCs w:val="16"/>
                      </w:rPr>
                      <w:t>Volume 1</w:t>
                    </w:r>
                    <w:r>
                      <w:rPr>
                        <w:rFonts w:hint="default" w:ascii="Garamond" w:hAnsi="Garamond"/>
                        <w:sz w:val="16"/>
                        <w:szCs w:val="16"/>
                        <w:lang w:val="en-US"/>
                      </w:rPr>
                      <w:t>8</w:t>
                    </w:r>
                    <w:r>
                      <w:rPr>
                        <w:rFonts w:ascii="Garamond" w:hAnsi="Garamond"/>
                        <w:sz w:val="16"/>
                        <w:szCs w:val="16"/>
                      </w:rPr>
                      <w:t>, Nomor 01, Januari 20</w:t>
                    </w:r>
                    <w:r>
                      <w:rPr>
                        <w:rFonts w:hint="default" w:ascii="Garamond" w:hAnsi="Garamond"/>
                        <w:sz w:val="16"/>
                        <w:szCs w:val="16"/>
                        <w:lang w:val="en-US"/>
                      </w:rPr>
                      <w:t>22</w:t>
                    </w:r>
                    <w:r>
                      <w:rPr>
                        <w:rFonts w:ascii="Garamond" w:hAnsi="Garamond"/>
                        <w:sz w:val="16"/>
                        <w:szCs w:val="16"/>
                      </w:rPr>
                      <w:t>; p-ISSN: 1907-3452; e-ISSN: 2540-7732; 01-</w:t>
                    </w:r>
                    <w:r>
                      <w:rPr>
                        <w:rFonts w:hint="default" w:ascii="Garamond" w:hAnsi="Garamond"/>
                        <w:sz w:val="16"/>
                        <w:szCs w:val="16"/>
                        <w:lang w:val="en-US"/>
                      </w:rPr>
                      <w:t>21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8">
    <w:p>
      <w:pPr>
        <w:spacing w:before="0" w:after="0" w:line="259" w:lineRule="auto"/>
      </w:pPr>
      <w:r>
        <w:separator/>
      </w:r>
    </w:p>
  </w:footnote>
  <w:footnote w:type="continuationSeparator" w:id="99">
    <w:p>
      <w:pPr>
        <w:spacing w:before="0" w:after="0" w:line="259" w:lineRule="auto"/>
      </w:pPr>
      <w:r>
        <w:continuationSeparator/>
      </w:r>
    </w:p>
  </w:footnote>
  <w:footnote w:id="0">
    <w:p>
      <w:pPr>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{"citationID":"e4GMT9zP","properties":{"formattedCitation":"Muhammad Khusnul Khuluq, \\uc0\\u8220{}The Harmonised Shari\\uc0\\u8217{}ah and Human Rights on Lesbian, Gay, Bisexual and Transgender (LGBT),\\uc0\\u8221{} {\\i{}Journal of Islamic Legal Studies} 13, no. 1 (2020): 2.","plainCitation":"Muhammad Khusnul Khuluq, “The Harmonised Shari’ah and Human Rights on Lesbian, Gay, Bisexual and Transgender (LGBT),” Journal of Islamic Legal Studies 13, no. 1 (2020): 2.","noteIndex":5},"citationItems":[{"id":1814,"uris":["http://zotero.org/users/6802635/items/9TMRW4Z7"],"uri":["http://zotero.org/users/6802635/items/9TMRW4Z7"],"itemData":{"id":1814,"type":"article-journal","container-title":"Journal of Islamic Legal Studies","issue":"1","page":"1–23","source":"Google Scholar","title":"The Harmonised Shari’ah and Human Rights on Lesbian, Gay, Bisexual and Transgender (LGBT)","volume":"13","author":[{"family":"Khuluq","given":"Muhammad Khusnul"}],"issued":{"date-parts":[["2020"]]}},"locator":"2"}],"schema":"https://github.com/citation-style-language/schema/raw/master/csl-citation.json"}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Muhammad Khusnul Khuluq, “The Harmonised Shari’ah and Human Rights on Lesbian, Gay, Bisexual and Transgender (LGBT),” </w:t>
      </w:r>
      <w:r>
        <w:rPr>
          <w:rFonts w:hint="default" w:ascii="Garamond" w:hAnsi="Garamond" w:cs="Garamond"/>
          <w:i/>
          <w:sz w:val="22"/>
          <w:szCs w:val="22"/>
        </w:rPr>
        <w:t>Journal of Islamic Legal Studies</w:t>
      </w:r>
      <w:r>
        <w:rPr>
          <w:rFonts w:hint="default" w:ascii="Garamond" w:hAnsi="Garamond" w:cs="Garamond"/>
          <w:sz w:val="22"/>
          <w:szCs w:val="22"/>
        </w:rPr>
        <w:t xml:space="preserve"> 13, no. 1 (2020): 2.</w:t>
      </w:r>
      <w:r>
        <w:rPr>
          <w:rFonts w:hint="default" w:ascii="Garamond" w:hAnsi="Garamond" w:cs="Garamond"/>
          <w:sz w:val="22"/>
          <w:szCs w:val="22"/>
        </w:rPr>
        <w:fldChar w:fldCharType="end"/>
      </w:r>
    </w:p>
  </w:footnote>
  <w:footnote w:id="1">
    <w:p>
      <w:pPr>
        <w:pStyle w:val="6"/>
        <w:snapToGrid w:val="0"/>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{"citationID":"ojKQCivJ","properties":{"formattedCitation":"Syafi\\uc0\\u8217{}in Mansur, \\uc0\\u8220{}Homoseksual Dalam Perspektif Agama-Agama Di Indonesia,\\uc0\\u8221{} {\\i{}Aqlania} 8, no. 01 (2017): 21.","plainCitation":"Syafi’in Mansur, “Homoseksual Dalam Perspektif Agama-Agama Di Indonesia,” Aqlania 8, no. 01 (2017): 21.","noteIndex":6},"citationItems":[{"id":1825,"uris":["http://zotero.org/users/6802635/items/MQCXIGKX"],"uri":["http://zotero.org/users/6802635/items/MQCXIGKX"],"itemData":{"id":1825,"type":"article-journal","container-title":"Aqlania","issue":"01","note":"publisher: Sultan Maulana Hasanuddin State Islamic University","page":"21–60","source":"Google Scholar","title":"Homoseksual dalam Perspektif Agama-Agama di Indonesia","volume":"8","author":[{"family":"Mansur","given":"Syafi’in"}],"issued":{"date-parts":[["2017"]]}},"locator":"21","label":"page"}],"schema":"https://github.com/citation-style-language/schema/raw/master/csl-citation.json"}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Syafi’in Mansur, “Homoseksual Dalam Perspektif Agama-Agama Di Indonesia,” </w:t>
      </w:r>
      <w:r>
        <w:rPr>
          <w:rFonts w:hint="default" w:ascii="Garamond" w:hAnsi="Garamond" w:cs="Garamond"/>
          <w:i/>
          <w:sz w:val="22"/>
          <w:szCs w:val="22"/>
        </w:rPr>
        <w:t>Aqlania</w:t>
      </w:r>
      <w:r>
        <w:rPr>
          <w:rFonts w:hint="default" w:ascii="Garamond" w:hAnsi="Garamond" w:cs="Garamond"/>
          <w:sz w:val="22"/>
          <w:szCs w:val="22"/>
        </w:rPr>
        <w:t xml:space="preserve"> 8, no. 01 (2017): 21.</w:t>
      </w:r>
      <w:r>
        <w:rPr>
          <w:rFonts w:hint="default" w:ascii="Garamond" w:hAnsi="Garamond" w:cs="Garamond"/>
          <w:sz w:val="22"/>
          <w:szCs w:val="22"/>
        </w:rPr>
        <w:fldChar w:fldCharType="end"/>
      </w:r>
    </w:p>
  </w:footnote>
  <w:footnote w:id="2">
    <w:p>
      <w:pPr>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{"citationID":"0KjJcyAA","properties":{"formattedCitation":"Musdah Mulia, {\\i{}Membangun Surga Di Bumi; Kiat-Kiat Membina Keluarga Islam Di Bumi} (Jakarta: Quanta, 2011), 252\\uc0\\u8211{}57.","plainCitation":"Musdah Mulia, Membangun Surga Di Bumi; Kiat-Kiat Membina Keluarga Islam Di Bumi (Jakarta: Quanta, 2011), 252–57.","noteIndex":7},"citationItems":[{"id":1778,"uris":["http://zotero.org/users/6802635/items/YLCP66BE"],"uri":["http://zotero.org/users/6802635/items/YLCP66BE"],"itemData":{"id":1778,"type":"book","event-place":"Jakarta","publisher":"Quanta","publisher-place":"Jakarta","source":"Google Scholar","title":"Membangun Surga Di Bumi; Kiat-Kiat Membina Keluarga Islam Di Bumi","author":[{"family":"Mulia","given":"Musdah"}],"issued":{"date-parts":[["2011"]]}},"locator":"252-257"}],"schema":"https://github.com/citation-style-language/schema/raw/master/csl-citation.json"}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Musdah Mulia, </w:t>
      </w:r>
      <w:r>
        <w:rPr>
          <w:rFonts w:hint="default" w:ascii="Garamond" w:hAnsi="Garamond" w:cs="Garamond"/>
          <w:i/>
          <w:sz w:val="22"/>
          <w:szCs w:val="22"/>
        </w:rPr>
        <w:t>Membangun Surga Di Bumi; Kiat-Kiat Membina Keluarga Islam Di Bumi</w:t>
      </w:r>
      <w:r>
        <w:rPr>
          <w:rFonts w:hint="default" w:ascii="Garamond" w:hAnsi="Garamond" w:cs="Garamond"/>
          <w:sz w:val="22"/>
          <w:szCs w:val="22"/>
        </w:rPr>
        <w:t xml:space="preserve"> (Jakarta: Quanta, 2011), 252–57.</w:t>
      </w:r>
      <w:r>
        <w:rPr>
          <w:rFonts w:hint="default" w:ascii="Garamond" w:hAnsi="Garamond" w:cs="Garamond"/>
          <w:sz w:val="22"/>
          <w:szCs w:val="22"/>
        </w:rPr>
        <w:fldChar w:fldCharType="end"/>
      </w:r>
    </w:p>
  </w:footnote>
  <w:footnote w:id="3">
    <w:p>
      <w:pPr>
        <w:pStyle w:val="6"/>
        <w:spacing w:beforeLines="0" w:afterLines="0"/>
        <w:ind w:firstLine="720"/>
        <w:jc w:val="both"/>
        <w:rPr>
          <w:rFonts w:hint="default" w:ascii="Garamond" w:hAnsi="Garamond" w:cs="Garamond"/>
          <w:sz w:val="22"/>
          <w:szCs w:val="22"/>
        </w:rPr>
      </w:pPr>
      <w:r>
        <w:rPr>
          <w:rStyle w:val="11"/>
          <w:rFonts w:hint="default" w:ascii="Garamond" w:hAnsi="Garamond" w:eastAsia="SimSun"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{"citationID":"ccVS5Wn3","properties":{"formattedCitation":"Nunung Hidayati, Siti Maemunah, and Athoillah Islamy, \\uc0\\u8220{}Nilai Moderasi Beragama Dalam Orientasi Pendidikan Pesantren Di Indonesia,\\uc0\\u8221{} {\\i{}Transformasi} 3, no. 2 (2021): 7.","plainCitation":"Nunung Hidayati, Siti Maemunah, and Athoillah Islamy, “Nilai Moderasi Beragama Dalam Orientasi Pendidikan Pesantren Di Indonesia,” Transformasi 3, no. 2 (2021): 7.","noteIndex":8},"citationItems":[{"id":1561,"uris":["http://zotero.org/users/6802635/items/HSUWQ2YK"],"uri":["http://zotero.org/users/6802635/items/HSUWQ2YK"],"itemData":{"id":1561,"type":"article-journal","container-title":"transformasi","issue":"2","page":"1–17","source":"Google Scholar","title":"Nilai Moderasi Beragama Dalam Orientasi Pendidikan Pesantren Di Indonesia","volume":"3","author":[{"family":"Hidayati","given":"Nunung"},{"family":"Maemunah","given":"Siti"},{"family":"Islamy","given":"Athoillah"}],"issued":{"date-parts":[["2021"]]}},"locator":"7"}],"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Nunung Hidayati, Siti Maemunah, and Athoillah Islamy, “Nilai Moderasi Beragama Dalam Orientasi Pendidikan Pesantren Di Indonesia,” </w:t>
      </w:r>
      <w:r>
        <w:rPr>
          <w:rFonts w:hint="default" w:ascii="Garamond" w:hAnsi="Garamond" w:cs="Garamond"/>
          <w:i/>
          <w:sz w:val="22"/>
          <w:szCs w:val="22"/>
        </w:rPr>
        <w:t>Transformasi</w:t>
      </w:r>
      <w:r>
        <w:rPr>
          <w:rFonts w:hint="default" w:ascii="Garamond" w:hAnsi="Garamond" w:cs="Garamond"/>
          <w:sz w:val="22"/>
          <w:szCs w:val="22"/>
        </w:rPr>
        <w:t xml:space="preserve"> 3, no. 2 (2021): 7.</w:t>
      </w:r>
      <w:r>
        <w:rPr>
          <w:rFonts w:hint="default" w:ascii="Garamond" w:hAnsi="Garamond" w:cs="Garamond"/>
          <w:sz w:val="22"/>
          <w:szCs w:val="22"/>
        </w:rPr>
        <w:fldChar w:fldCharType="end"/>
      </w:r>
    </w:p>
  </w:footnote>
  <w:footnote w:id="4">
    <w:p>
      <w:pPr>
        <w:spacing w:beforeLines="0" w:after="20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{"citationID":"dYM8tIMs","properties":{"formattedCitation":"Huzaemah Tahido Yanggo, \\uc0\\u8220{}Penyimpangan Seksual (LGBT) Dalam Pandangan Hukum Islam,\\uc0\\u8221{} {\\i{}MISYKAT Jurnal Ilmu-Ilmu Al-Quran Hadist Syari Ah Dan Tarbiyah} 3, no. 2 (2018): 1.","plainCitation":"Huzaemah Tahido Yanggo, “Penyimpangan Seksual (LGBT) Dalam Pandangan Hukum Islam,” MISYKAT Jurnal Ilmu-Ilmu Al-Quran Hadist Syari Ah Dan Tarbiyah 3, no. 2 (2018): 1.","noteIndex":9},"citationItems":[{"id":1806,"uris":["http://zotero.org/users/6802635/items/H92NJCGJ"],"uri":["http://zotero.org/users/6802635/items/H92NJCGJ"],"itemData":{"id":1806,"type":"article-journal","container-title":"MISYKAT Jurnal Ilmu-ilmu Al-Quran Hadist Syari ah dan Tarbiyah","issue":"2","page":"1–28","source":"Google Scholar","title":"Penyimpangan Seksual (LGBT) Dalam Pandangan Hukum Islam","volume":"3","author":[{"family":"Yanggo","given":"Huzaemah Tahido"}],"issued":{"date-parts":[["2018"]]}},"locator":"1"}],"schema":"https://github.com/citation-style-language/schema/raw/master/csl-citation.json"}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Huzaemah Tahido Yanggo, “Penyimpangan Seksual (LGBT) Dalam Pandangan Hukum Islam,” </w:t>
      </w:r>
      <w:r>
        <w:rPr>
          <w:rFonts w:hint="default" w:ascii="Garamond" w:hAnsi="Garamond" w:cs="Garamond"/>
          <w:i/>
          <w:sz w:val="22"/>
          <w:szCs w:val="22"/>
        </w:rPr>
        <w:t>MISYKAT Jurnal Ilmu-Ilmu Al-Quran Hadist Syari Ah Dan Tarbiyah</w:t>
      </w:r>
      <w:r>
        <w:rPr>
          <w:rFonts w:hint="default" w:ascii="Garamond" w:hAnsi="Garamond" w:cs="Garamond"/>
          <w:sz w:val="22"/>
          <w:szCs w:val="22"/>
        </w:rPr>
        <w:t xml:space="preserve"> 3, no. 2 (2018): 1.</w:t>
      </w:r>
      <w:r>
        <w:rPr>
          <w:rFonts w:hint="default" w:ascii="Garamond" w:hAnsi="Garamond" w:cs="Garamond"/>
          <w:sz w:val="22"/>
          <w:szCs w:val="22"/>
        </w:rPr>
        <w:fldChar w:fldCharType="end"/>
      </w:r>
    </w:p>
  </w:footnote>
  <w:footnote w:id="5">
    <w:p>
      <w:pPr>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{"citationID":"VwSZIG6x","properties":{"formattedCitation":"Ahmad Royhan Firdausy, \\uc0\\u8220{}Epistemologi Penafsiran Musdah Mulia Tentang Homoseksual\\uc0\\u8221{} (PhD Thesis, Institut PTIQ Jakarta, 2018), i.","plainCitation":"Ahmad Royhan Firdausy, “Epistemologi Penafsiran Musdah Mulia Tentang Homoseksual” (PhD Thesis, Institut PTIQ Jakarta, 2018), i.","noteIndex":10},"citationItems":[{"id":1781,"uris":["http://zotero.org/users/6802635/items/QSJWRTU9"],"uri":["http://zotero.org/users/6802635/items/QSJWRTU9"],"itemData":{"id":1781,"type":"thesis","genre":"PhD Thesis","publisher":"Institut PTIQ Jakarta","source":"Google Scholar","title":"Epistemologi Penafsiran Musdah Mulia tentang Homoseksual","author":[{"family":"Firdausy","given":"Ahmad Royhan"}],"issued":{"date-parts":[["2018"]]}},"locator":"i","label":"page"}],"schema":"https://github.com/citation-style-language/schema/raw/master/csl-citation.json"}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Ahmad Royhan Firdausy, “Epistemologi Penafsiran Musdah Mulia Tentang Homoseksual” (PhD Thesis, Institut PTIQ Jakarta, 2018), i.</w:t>
      </w:r>
      <w:r>
        <w:rPr>
          <w:rFonts w:hint="default" w:ascii="Garamond" w:hAnsi="Garamond" w:cs="Garamond"/>
          <w:sz w:val="22"/>
          <w:szCs w:val="22"/>
        </w:rPr>
        <w:fldChar w:fldCharType="end"/>
      </w:r>
    </w:p>
  </w:footnote>
  <w:footnote w:id="6">
    <w:p>
      <w:pPr>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{"citationID":"xw3j85QQ","properties":{"formattedCitation":"Nur Rofiah, Abdul Muid Nawawi, and Ahmad Royhan Firdausy, \\uc0\\u8220{}Epsitemologi Penafsiran Musdah Mulia Tentang Homoseksual,\\uc0\\u8221{} {\\i{}Mumtaz: Jurnal Studi Al-Quran Dan Keislaman} 2, no. 2 (2018): 263.","plainCitation":"Nur Rofiah, Abdul Muid Nawawi, and Ahmad Royhan Firdausy, “Epsitemologi Penafsiran Musdah Mulia Tentang Homoseksual,” Mumtaz: Jurnal Studi Al-Quran Dan Keislaman 2, no. 2 (2018): 263.","noteIndex":11},"citationItems":[{"id":1821,"uris":["http://zotero.org/users/6802635/items/XWW9AGQM"],"uri":["http://zotero.org/users/6802635/items/XWW9AGQM"],"itemData":{"id":1821,"type":"article-journal","container-title":"Mumtaz: Jurnal Studi Al-Quran dan Keislaman","issue":"2","page":"239–266","source":"Google Scholar","title":"Epsitemologi Penafsiran Musdah Mulia Tentang Homoseksual","volume":"2","author":[{"family":"Rofiah","given":"Nur"},{"family":"Nawawi","given":"Abdul Muid"},{"family":"Firdausy","given":"Ahmad Royhan"}],"issued":{"date-parts":[["2018"]]}},"locator":"263","label":"page"}],"schema":"https://github.com/citation-style-language/schema/raw/master/csl-citation.json"}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Nur Rofiah, Abdul Muid Nawawi, and Ahmad Royhan Firdausy, “Epsitemologi Penafsiran Musdah Mulia Tentang Homoseksual,” </w:t>
      </w:r>
      <w:r>
        <w:rPr>
          <w:rFonts w:hint="default" w:ascii="Garamond" w:hAnsi="Garamond" w:cs="Garamond"/>
          <w:i/>
          <w:sz w:val="22"/>
          <w:szCs w:val="22"/>
        </w:rPr>
        <w:t>Mumtaz: Jurnal Studi Al-Quran Dan Keislaman</w:t>
      </w:r>
      <w:r>
        <w:rPr>
          <w:rFonts w:hint="default" w:ascii="Garamond" w:hAnsi="Garamond" w:cs="Garamond"/>
          <w:sz w:val="22"/>
          <w:szCs w:val="22"/>
        </w:rPr>
        <w:t xml:space="preserve"> 2, no. 2 (2018): 263.</w:t>
      </w:r>
      <w:r>
        <w:rPr>
          <w:rFonts w:hint="default" w:ascii="Garamond" w:hAnsi="Garamond" w:cs="Garamond"/>
          <w:sz w:val="22"/>
          <w:szCs w:val="22"/>
        </w:rPr>
        <w:fldChar w:fldCharType="end"/>
      </w:r>
    </w:p>
  </w:footnote>
  <w:footnote w:id="7">
    <w:p>
      <w:pPr>
        <w:pStyle w:val="6"/>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{"citationID":"UFk0hXOX","properties":{"formattedCitation":"Fathonah K. Daud, \\uc0\\u8220{}Analisa Pemikiran Musdah Mulia Di Media Massa Tentang Homoseksual: Kajian Historis, Teologis Dan Psikologis,\\uc0\\u8221{} {\\i{}AL MAQASHIDI} 2, no. 1 (2019): 129.","plainCitation":"Fathonah K. Daud, “Analisa Pemikiran Musdah Mulia Di Media Massa Tentang Homoseksual: Kajian Historis, Teologis Dan Psikologis,” AL MAQASHIDI 2, no. 1 (2019): 129.","noteIndex":12},"citationItems":[{"id":1801,"uris":["http://zotero.org/users/6802635/items/QXFB96EL"],"uri":["http://zotero.org/users/6802635/items/QXFB96EL"],"itemData":{"id":1801,"type":"article-journal","container-title":"AL MAQASHIDI","issue":"1","page":"111–131","source":"Google Scholar","title":"Analisa Pemikiran Musdah Mulia Di Media Massa Tentang Homoseksual: Kajian Historis, Teologis dan Psikologis","title-short":"ANALISA PEMIKIRAN MUSDAH MULIA DI MEDIA MASSA TENTANG HOMOSEKSUAL","volume":"2","author":[{"family":"Daud","given":"Fathonah K."}],"issued":{"date-parts":[["2019"]]}},"locator":"129","label":"page"}],"schema":"https://github.com/citation-style-language/schema/raw/master/csl-citation.json"}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Fathonah K. Daud, “Analisa Pemikiran Musdah Mulia Di Media Massa Tentang Homoseksual: Kajian Historis, Teologis Dan Psikologis,” </w:t>
      </w:r>
      <w:r>
        <w:rPr>
          <w:rFonts w:hint="default" w:ascii="Garamond" w:hAnsi="Garamond" w:cs="Garamond"/>
          <w:i/>
          <w:sz w:val="22"/>
          <w:szCs w:val="22"/>
        </w:rPr>
        <w:t>AL MAQASHIDI</w:t>
      </w:r>
      <w:r>
        <w:rPr>
          <w:rFonts w:hint="default" w:ascii="Garamond" w:hAnsi="Garamond" w:cs="Garamond"/>
          <w:sz w:val="22"/>
          <w:szCs w:val="22"/>
        </w:rPr>
        <w:t xml:space="preserve"> 2, no. 1 (2019): 129.</w:t>
      </w:r>
      <w:r>
        <w:rPr>
          <w:rFonts w:hint="default" w:ascii="Garamond" w:hAnsi="Garamond" w:cs="Garamond"/>
          <w:sz w:val="22"/>
          <w:szCs w:val="22"/>
        </w:rPr>
        <w:fldChar w:fldCharType="end"/>
      </w:r>
    </w:p>
  </w:footnote>
  <w:footnote w:id="8">
    <w:p>
      <w:pPr>
        <w:pStyle w:val="6"/>
        <w:spacing w:beforeLines="0" w:afterLines="0"/>
        <w:ind w:firstLine="720"/>
        <w:jc w:val="both"/>
        <w:rPr>
          <w:rFonts w:hint="default" w:ascii="Garamond" w:hAnsi="Garamond" w:cs="Garamond"/>
          <w:sz w:val="22"/>
          <w:szCs w:val="22"/>
        </w:rPr>
      </w:pPr>
      <w:r>
        <w:rPr>
          <w:rStyle w:val="11"/>
          <w:rFonts w:hint="default" w:ascii="Garamond" w:hAnsi="Garamond" w:eastAsia="SimSun"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{"citationID":"pUrlZ59C","properties":{"formattedCitation":"M. Atho Mudzhar, \\uc0\\u8220{}Tantangan Studi Hukum Islam Di Indonesia Dewasa Ini,\\uc0\\u8221{} {\\i{}Jurnal Indo-Islamika} 2, no. 1 (2012): 102.","plainCitation":"M. Atho Mudzhar, “Tantangan Studi Hukum Islam Di Indonesia Dewasa Ini,” Jurnal Indo-Islamika 2, no. 1 (2012): 102.","noteIndex":13},"citationItems":[{"id":1548,"uris":["http://zotero.org/users/6802635/items/T7SSZW9V"],"uri":["http://zotero.org/users/6802635/items/T7SSZW9V"],"itemData":{"id":1548,"type":"article-journal","container-title":"Jurnal Indo-Islamika","issue":"1","page":"91–103","source":"Google Scholar","title":"Tantangan studi hukum Islam di Indonesia dewasa ini","volume":"2","author":[{"family":"Mudzhar","given":"M. Atho"}],"issued":{"date-parts":[["2012"]]}},"locator":"102"}],"schema":"https://github.com/citation-style-language/schema/raw/master/csl-citation.json"}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M. Atho Mudzhar, “Tantangan Studi Hukum Islam Di Indonesia Dewasa Ini,” </w:t>
      </w:r>
      <w:r>
        <w:rPr>
          <w:rFonts w:hint="default" w:ascii="Garamond" w:hAnsi="Garamond" w:cs="Garamond"/>
          <w:i/>
          <w:sz w:val="22"/>
          <w:szCs w:val="22"/>
        </w:rPr>
        <w:t>Jurnal Indo-Islamika</w:t>
      </w:r>
      <w:r>
        <w:rPr>
          <w:rFonts w:hint="default" w:ascii="Garamond" w:hAnsi="Garamond" w:cs="Garamond"/>
          <w:sz w:val="22"/>
          <w:szCs w:val="22"/>
        </w:rPr>
        <w:t xml:space="preserve"> 2, no. 1 (2012): 102.</w:t>
      </w:r>
      <w:r>
        <w:rPr>
          <w:rFonts w:hint="default" w:ascii="Garamond" w:hAnsi="Garamond" w:cs="Garamond"/>
          <w:sz w:val="22"/>
          <w:szCs w:val="22"/>
        </w:rPr>
        <w:fldChar w:fldCharType="end"/>
      </w:r>
    </w:p>
  </w:footnote>
  <w:footnote w:id="9">
    <w:p>
      <w:pPr>
        <w:pStyle w:val="6"/>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{"citationID":"XdPoRexm","properties":{"formattedCitation":"Athoillah Islamy, \\uc0\\u8220{}Gender Mainstreaming Dalam Al-Qur\\uc0\\u8217{}an Dan Hadis Serta Relevansinya Terhadap Epistemologi Hukum Islam,\\uc0\\u8221{} {\\i{}Jurnal Hukum Islam} 15, no. 1 (2017): 119.","plainCitation":"Athoillah Islamy, “Gender Mainstreaming Dalam Al-Qur’an Dan Hadis Serta Relevansinya Terhadap Epistemologi Hukum Islam,” Jurnal Hukum Islam 15, no. 1 (2017): 119.","noteIndex":14},"citationItems":[{"id":345,"uris":["http://zotero.org/users/6802635/items/8EFA7BM6"],"uri":["http://zotero.org/users/6802635/items/8EFA7BM6"],"itemData":{"id":345,"type":"article-journal","container-title":"Jurnal Hukum Islam","issue":"1","page":"181–199","source":"Google Scholar","title":"Gender Mainstreaming dalam al-Qur’an dan Hadis serta Relevansinya Terhadap Epistemologi Hukum Islam","volume":"15","author":[{"family":"Islamy","given":"Athoillah"}],"issued":{"date-parts":[["2017"]]}},"locator":"119"}],"schema":"https://github.com/citation-style-language/schema/raw/master/csl-citation.json"}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Athoillah Islamy, “Gender Mainstreaming Dalam Al-Qur’an Dan Hadis Serta Relevansinya Terhadap Epistemologi Hukum Islam,” </w:t>
      </w:r>
      <w:r>
        <w:rPr>
          <w:rFonts w:hint="default" w:ascii="Garamond" w:hAnsi="Garamond" w:cs="Garamond"/>
          <w:i/>
          <w:sz w:val="22"/>
          <w:szCs w:val="22"/>
        </w:rPr>
        <w:t>Jurnal Hukum Islam</w:t>
      </w:r>
      <w:r>
        <w:rPr>
          <w:rFonts w:hint="default" w:ascii="Garamond" w:hAnsi="Garamond" w:cs="Garamond"/>
          <w:sz w:val="22"/>
          <w:szCs w:val="22"/>
        </w:rPr>
        <w:t xml:space="preserve"> 15, no. 1 (2017): 119.</w:t>
      </w:r>
      <w:r>
        <w:rPr>
          <w:rFonts w:hint="default" w:ascii="Garamond" w:hAnsi="Garamond" w:cs="Garamond"/>
          <w:sz w:val="22"/>
          <w:szCs w:val="22"/>
        </w:rPr>
        <w:fldChar w:fldCharType="end"/>
      </w:r>
    </w:p>
  </w:footnote>
  <w:footnote w:id="10">
    <w:p>
      <w:pPr>
        <w:autoSpaceDE w:val="0"/>
        <w:autoSpaceDN w:val="0"/>
        <w:adjustRightInd w:val="0"/>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{"citationID":"zWmEwAKC","properties":{"formattedCitation":"Abdul Muiz, \\uc0\\u8220{}Landasan Dan Fungsi Al-Qawa\\uc0\\u8217{}id Al-Fiqhiyyah Dalam Problematika Hukum Islam,\\uc0\\u8221{} {\\i{}Al-Afkar, Journal For Islamic Studies} 3, no. 1, January (2020): 103\\uc0\\u8211{}4.","plainCitation":"Abdul Muiz, “Landasan Dan Fungsi Al-Qawa’id Al-Fiqhiyyah Dalam Problematika Hukum Islam,” Al-Afkar, Journal For Islamic Studies 3, no. 1, January (2020): 103–4.","noteIndex":15},"citationItems":[{"id":1827,"uris":["http://zotero.org/users/6802635/items/KIQTU2NL"],"uri":["http://zotero.org/users/6802635/items/KIQTU2NL"],"itemData":{"id":1827,"type":"article-journal","container-title":"al-Afkar, Journal For Islamic Studies","issue":"1, January","page":"103–114","source":"Google Scholar","title":"Landasan Dan Fungsi Al-Qawa’id Al-Fiqhiyyah Dalam Problematika Hukum Islam","volume":"3","author":[{"family":"Muiz","given":"Abdul"}],"issued":{"date-parts":[["2020"]]}},"locator":"103-104","label":"page"}],"schema":"https://github.com/citation-style-language/schema/raw/master/csl-citation.json"}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Abdul Muiz, “Landasan Dan Fungsi Al-Qawa’id Al-Fiqhiyyah Dalam Problematika Hukum Islam,” </w:t>
      </w:r>
      <w:r>
        <w:rPr>
          <w:rFonts w:hint="default" w:ascii="Garamond" w:hAnsi="Garamond" w:cs="Garamond"/>
          <w:i/>
          <w:sz w:val="22"/>
          <w:szCs w:val="22"/>
        </w:rPr>
        <w:t>Al-Afkar, Journal For Islamic Studies</w:t>
      </w:r>
      <w:r>
        <w:rPr>
          <w:rFonts w:hint="default" w:ascii="Garamond" w:hAnsi="Garamond" w:cs="Garamond"/>
          <w:sz w:val="22"/>
          <w:szCs w:val="22"/>
        </w:rPr>
        <w:t xml:space="preserve"> 3, no. 1, January (2020): 103–4.</w:t>
      </w:r>
      <w:r>
        <w:rPr>
          <w:rFonts w:hint="default" w:ascii="Garamond" w:hAnsi="Garamond" w:cs="Garamond"/>
          <w:sz w:val="22"/>
          <w:szCs w:val="22"/>
        </w:rPr>
        <w:fldChar w:fldCharType="end"/>
      </w:r>
    </w:p>
  </w:footnote>
  <w:footnote w:id="11">
    <w:p>
      <w:pPr>
        <w:pStyle w:val="6"/>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lang w:val="id-ID"/>
        </w:rPr>
        <w:t xml:space="preserve"> </w:t>
      </w:r>
      <w:r>
        <w:rPr>
          <w:rFonts w:hint="default" w:ascii="Garamond" w:hAnsi="Garamond" w:cs="Garamond"/>
          <w:sz w:val="22"/>
          <w:szCs w:val="22"/>
          <w:lang w:val="id-ID"/>
        </w:rPr>
        <w:fldChar w:fldCharType="begin"/>
      </w:r>
      <w:r>
        <w:rPr>
          <w:rFonts w:hint="default" w:ascii="Garamond" w:hAnsi="Garamond" w:cs="Garamond"/>
          <w:sz w:val="22"/>
          <w:szCs w:val="22"/>
          <w:lang w:val="id-ID"/>
        </w:rPr>
        <w:instrText xml:space="preserve"> ADDIN ZOTERO_ITEM CSL_CITATION {"citationID":"7sCbPE3a","properties":{"formattedCitation":"Dasuki Ibrahim, {\\i{}Al-Qawa`id Al-Fiqhiyah} (Palembang: Noer Fikri, 2019), 41.","plainCitation":"Dasuki Ibrahim, Al-Qawa`id Al-Fiqhiyah (Palembang: Noer Fikri, 2019), 41.","noteIndex":16},"citationItems":[{"id":350,"uris":["http://zotero.org/users/6802635/items/JUFBRA8L"],"uri":["http://zotero.org/users/6802635/items/JUFBRA8L"],"itemData":{"id":350,"type":"book","event-place":"Palembang","publisher":"Noer Fikri","publisher-place":"Palembang","title":"Al-Qawa`id Al-Fiqhiyah","author":[{"family":"Ibrahim","given":"Dasuki"}],"accessed":{"date-parts":[["2021",5,18]]},"issued":{"date-parts":[["2019"]]}},"locator":"41"}],"schema":"https://github.com/citation-style-language/schema/raw/master/csl-citation.json"} </w:instrText>
      </w:r>
      <w:r>
        <w:rPr>
          <w:rFonts w:hint="default" w:ascii="Garamond" w:hAnsi="Garamond" w:cs="Garamond"/>
          <w:sz w:val="22"/>
          <w:szCs w:val="22"/>
          <w:lang w:val="id-ID"/>
        </w:rPr>
        <w:fldChar w:fldCharType="separate"/>
      </w:r>
      <w:r>
        <w:rPr>
          <w:rFonts w:hint="default" w:ascii="Garamond" w:hAnsi="Garamond" w:cs="Garamond"/>
          <w:sz w:val="22"/>
          <w:szCs w:val="22"/>
        </w:rPr>
        <w:t xml:space="preserve">Dasuki Ibrahim, </w:t>
      </w:r>
      <w:r>
        <w:rPr>
          <w:rFonts w:hint="default" w:ascii="Garamond" w:hAnsi="Garamond" w:cs="Garamond"/>
          <w:i/>
          <w:sz w:val="22"/>
          <w:szCs w:val="22"/>
        </w:rPr>
        <w:t>Al-Qawa`id Al-Fiqhiyah</w:t>
      </w:r>
      <w:r>
        <w:rPr>
          <w:rFonts w:hint="default" w:ascii="Garamond" w:hAnsi="Garamond" w:cs="Garamond"/>
          <w:sz w:val="22"/>
          <w:szCs w:val="22"/>
        </w:rPr>
        <w:t xml:space="preserve"> (Palembang: Noer Fikri, 2019), 41.</w:t>
      </w:r>
      <w:r>
        <w:rPr>
          <w:rFonts w:hint="default" w:ascii="Garamond" w:hAnsi="Garamond" w:cs="Garamond"/>
          <w:sz w:val="22"/>
          <w:szCs w:val="22"/>
        </w:rPr>
        <w:fldChar w:fldCharType="end"/>
      </w:r>
    </w:p>
  </w:footnote>
  <w:footnote w:id="12">
    <w:p>
      <w:pPr>
        <w:autoSpaceDE w:val="0"/>
        <w:autoSpaceDN w:val="0"/>
        <w:adjustRightInd w:val="0"/>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{"citationID":"5s30aaWl","properties":{"formattedCitation":"Ibid., 44.","plainCitation":"Ibid., 44.","noteIndex":17},"citationItems":[{"id":350,"uris":["http://zotero.org/users/6802635/items/JUFBRA8L"],"uri":["http://zotero.org/users/6802635/items/JUFBRA8L"],"itemData":{"id":350,"type":"book","event-place":"Palembang","publisher":"Noer Fikri","publisher-place":"Palembang","title":"Al-Qawa`id Al-Fiqhiyah","author":[{"family":"Ibrahim","given":"Dasuki"}],"accessed":{"date-parts":[["2021",5,18]]},"issued":{"date-parts":[["2019"]]}},"locator":"44"}],"schema":"https://github.com/citation-style-language/schema/raw/master/csl-citation.json"}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Ibid., 44.</w:t>
      </w:r>
      <w:r>
        <w:rPr>
          <w:rFonts w:hint="default" w:ascii="Garamond" w:hAnsi="Garamond" w:cs="Garamond"/>
          <w:sz w:val="22"/>
          <w:szCs w:val="22"/>
        </w:rPr>
        <w:fldChar w:fldCharType="end"/>
      </w:r>
    </w:p>
  </w:footnote>
  <w:footnote w:id="13">
    <w:p>
      <w:pPr>
        <w:pStyle w:val="6"/>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{"citationID":"DnXWmLr6","properties":{"formattedCitation":"Toha Andiko, {\\i{}Ilmu Qawa\\uc0\\u8217{}id Fiqhiyyah: Panduan Praktis Dalam Merespon Problematika Hukum Islam Kontemporer} (Teras, 2011), 30.","plainCitation":"Toha Andiko, Ilmu Qawa’id Fiqhiyyah: Panduan Praktis Dalam Merespon Problematika Hukum Islam Kontemporer (Teras, 2011), 30.","noteIndex":18},"citationItems":[{"id":1785,"uris":["http://zotero.org/users/6802635/items/YUZRJMWD"],"uri":["http://zotero.org/users/6802635/items/YUZRJMWD"],"itemData":{"id":1785,"type":"book","publisher":"Teras","source":"Google Scholar","title":"Ilmu Qawa’id Fiqhiyyah: Panduan Praktis Dalam Merespon Problematika Hukum Islam Kontemporer","title-short":"ILMU QAWA’ID FIQHIYYAH","author":[{"family":"Andiko","given":"Toha"}],"issued":{"date-parts":[["2011"]]}},"locator":"30","label":"page"}],"schema":"https://github.com/citation-style-language/schema/raw/master/csl-citation.json"}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Toha Andiko, </w:t>
      </w:r>
      <w:r>
        <w:rPr>
          <w:rFonts w:hint="default" w:ascii="Garamond" w:hAnsi="Garamond" w:cs="Garamond"/>
          <w:i/>
          <w:sz w:val="22"/>
          <w:szCs w:val="22"/>
        </w:rPr>
        <w:t>Ilmu Qawa’id Fiqhiyyah: Panduan Praktis Dalam Merespon Problematika Hukum Islam Kontemporer</w:t>
      </w:r>
      <w:r>
        <w:rPr>
          <w:rFonts w:hint="default" w:ascii="Garamond" w:hAnsi="Garamond" w:cs="Garamond"/>
          <w:sz w:val="22"/>
          <w:szCs w:val="22"/>
        </w:rPr>
        <w:t xml:space="preserve"> (Teras, 2011), 30.</w:t>
      </w:r>
      <w:r>
        <w:rPr>
          <w:rFonts w:hint="default" w:ascii="Garamond" w:hAnsi="Garamond" w:cs="Garamond"/>
          <w:sz w:val="22"/>
          <w:szCs w:val="22"/>
        </w:rPr>
        <w:fldChar w:fldCharType="end"/>
      </w:r>
    </w:p>
  </w:footnote>
  <w:footnote w:id="14">
    <w:p>
      <w:pPr>
        <w:pStyle w:val="6"/>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{"citationID":"yDdttnev","properties":{"formattedCitation":"Muiz, \\uc0\\u8220{}Landasan Dan Fungsi Al-Qawa\\uc0\\u8217{}id Al-Fiqhiyyah Dalam Problematika Hukum Islam,\\uc0\\u8221{} 108.","plainCitation":"Muiz, “Landasan Dan Fungsi Al-Qawa’id Al-Fiqhiyyah Dalam Problematika Hukum Islam,” 108.","noteIndex":19},"citationItems":[{"id":1827,"uris":["http://zotero.org/users/6802635/items/KIQTU2NL"],"uri":["http://zotero.org/users/6802635/items/KIQTU2NL"],"itemData":{"id":1827,"type":"article-journal","container-title":"al-Afkar, Journal For Islamic Studies","issue":"1, January","page":"103–114","source":"Google Scholar","title":"Landasan Dan Fungsi Al-Qawa’id Al-Fiqhiyyah Dalam Problematika Hukum Islam","volume":"3","author":[{"family":"Muiz","given":"Abdul"}],"issued":{"date-parts":[["2020"]]}},"locator":"108"}],"schema":"https://github.com/citation-style-language/schema/raw/master/csl-citation.json"}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Muiz, “Landasan Dan Fungsi Al-Qawa’id Al-Fiqhiyyah Dalam Problematika Hukum Islam,” 108.</w:t>
      </w:r>
      <w:r>
        <w:rPr>
          <w:rFonts w:hint="default" w:ascii="Garamond" w:hAnsi="Garamond" w:cs="Garamond"/>
          <w:sz w:val="22"/>
          <w:szCs w:val="22"/>
        </w:rPr>
        <w:fldChar w:fldCharType="end"/>
      </w:r>
    </w:p>
  </w:footnote>
  <w:footnote w:id="15">
    <w:p>
      <w:pPr>
        <w:pStyle w:val="6"/>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{"citationID":"w9wb4e7r","properties":{"formattedCitation":"Andiko, {\\i{}ILMU QAWA\\uc0\\u8217{}ID FIQHIYYAH}, 30.","plainCitation":"Andiko, ILMU QAWA’ID FIQHIYYAH, 30.","noteIndex":20},"citationItems":[{"id":1785,"uris":["http://zotero.org/users/6802635/items/YUZRJMWD"],"uri":["http://zotero.org/users/6802635/items/YUZRJMWD"],"itemData":{"id":1785,"type":"book","publisher":"Teras","source":"Google Scholar","title":"Ilmu Qawa’id Fiqhiyyah: Panduan Praktis Dalam Merespon Problematika Hukum Islam Kontemporer","title-short":"ILMU QAWA’ID FIQHIYYAH","author":[{"family":"Andiko","given":"Toha"}],"issued":{"date-parts":[["2011"]]}},"locator":"30"}],"schema":"https://github.com/citation-style-language/schema/raw/master/csl-citation.json"}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Andiko, </w:t>
      </w:r>
      <w:r>
        <w:rPr>
          <w:rFonts w:hint="default" w:ascii="Garamond" w:hAnsi="Garamond" w:cs="Garamond"/>
          <w:i/>
          <w:sz w:val="22"/>
          <w:szCs w:val="22"/>
        </w:rPr>
        <w:t>ILMU QAWA’ID FIQHIYYAH</w:t>
      </w:r>
      <w:r>
        <w:rPr>
          <w:rFonts w:hint="default" w:ascii="Garamond" w:hAnsi="Garamond" w:cs="Garamond"/>
          <w:sz w:val="22"/>
          <w:szCs w:val="22"/>
        </w:rPr>
        <w:t>, 30.</w:t>
      </w:r>
      <w:r>
        <w:rPr>
          <w:rFonts w:hint="default" w:ascii="Garamond" w:hAnsi="Garamond" w:cs="Garamond"/>
          <w:sz w:val="22"/>
          <w:szCs w:val="22"/>
        </w:rPr>
        <w:fldChar w:fldCharType="end"/>
      </w:r>
    </w:p>
  </w:footnote>
  <w:footnote w:id="16">
    <w:p>
      <w:pPr>
        <w:pStyle w:val="6"/>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{"citationID":"oBxfVkpu","properties":{"formattedCitation":"Ibrahim, {\\i{}Al-Qawa`id Al-Fiqhiyah}, 56.","plainCitation":"Ibrahim, Al-Qawa`id Al-Fiqhiyah, 56.","noteIndex":21},"citationItems":[{"id":350,"uris":["http://zotero.org/users/6802635/items/JUFBRA8L"],"uri":["http://zotero.org/users/6802635/items/JUFBRA8L"],"itemData":{"id":350,"type":"book","event-place":"Palembang","publisher":"Noer Fikri","publisher-place":"Palembang","title":"Al-Qawa`id Al-Fiqhiyah","author":[{"family":"Ibrahim","given":"Dasuki"}],"accessed":{"date-parts":[["2021",5,18]]},"issued":{"date-parts":[["2019"]]}},"locator":"56"}],"schema":"https://github.com/citation-style-language/schema/raw/master/csl-citation.json"}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Ibrahim, </w:t>
      </w:r>
      <w:r>
        <w:rPr>
          <w:rFonts w:hint="default" w:ascii="Garamond" w:hAnsi="Garamond" w:cs="Garamond"/>
          <w:i/>
          <w:sz w:val="22"/>
          <w:szCs w:val="22"/>
        </w:rPr>
        <w:t>Al-Qawa`id Al-Fiqhiyah</w:t>
      </w:r>
      <w:r>
        <w:rPr>
          <w:rFonts w:hint="default" w:ascii="Garamond" w:hAnsi="Garamond" w:cs="Garamond"/>
          <w:sz w:val="22"/>
          <w:szCs w:val="22"/>
        </w:rPr>
        <w:t>, 56.</w:t>
      </w:r>
      <w:r>
        <w:rPr>
          <w:rFonts w:hint="default" w:ascii="Garamond" w:hAnsi="Garamond" w:cs="Garamond"/>
          <w:sz w:val="22"/>
          <w:szCs w:val="22"/>
        </w:rPr>
        <w:fldChar w:fldCharType="end"/>
      </w:r>
    </w:p>
  </w:footnote>
  <w:footnote w:id="17">
    <w:p>
      <w:pPr>
        <w:pStyle w:val="6"/>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i/>
          <w:sz w:val="22"/>
          <w:szCs w:val="22"/>
        </w:rPr>
        <w:fldChar w:fldCharType="begin"/>
      </w:r>
      <w:r>
        <w:rPr>
          <w:rFonts w:hint="default" w:ascii="Garamond" w:hAnsi="Garamond" w:cs="Garamond"/>
          <w:i/>
          <w:sz w:val="22"/>
          <w:szCs w:val="22"/>
        </w:rPr>
        <w:instrText xml:space="preserve"> ADDIN ZOTERO_ITEM CSL_CITATION {"citationID":"iAKS7XIQ","properties":{"formattedCitation":"Darmawan, {\\i{}Kaidah-Kiadah Fiqhiyyah} (Surabaya: Revka Prima Media, 2020), 36.","plainCitation":"Darmawan, Kaidah-Kiadah Fiqhiyyah (Surabaya: Revka Prima Media, 2020), 36.","noteIndex":22},"citationItems":[{"id":379,"uris":["http://zotero.org/users/6802635/items/99W92PMU"],"uri":["http://zotero.org/users/6802635/items/99W92PMU"],"itemData":{"id":379,"type":"book","event-place":"Surabaya","publisher":"Revka Prima Media","publisher-place":"Surabaya","title":"Kaidah-Kiadah Fiqhiyyah","author":[{"family":"","given":"Darmawan"}],"issued":{"date-parts":[["2020"]]}},"locator":"36"}],"schema":"https://github.com/citation-style-language/schema/raw/master/csl-citation.json"} </w:instrText>
      </w:r>
      <w:r>
        <w:rPr>
          <w:rFonts w:hint="default" w:ascii="Garamond" w:hAnsi="Garamond" w:cs="Garamond"/>
          <w:i/>
          <w:sz w:val="22"/>
          <w:szCs w:val="22"/>
        </w:rPr>
        <w:fldChar w:fldCharType="separate"/>
      </w:r>
      <w:r>
        <w:rPr>
          <w:rFonts w:hint="default" w:ascii="Garamond" w:hAnsi="Garamond" w:cs="Garamond"/>
          <w:sz w:val="22"/>
          <w:szCs w:val="22"/>
        </w:rPr>
        <w:t xml:space="preserve">Darmawan, </w:t>
      </w:r>
      <w:r>
        <w:rPr>
          <w:rFonts w:hint="default" w:ascii="Garamond" w:hAnsi="Garamond" w:cs="Garamond"/>
          <w:i/>
          <w:sz w:val="22"/>
          <w:szCs w:val="22"/>
        </w:rPr>
        <w:t>Kaidah-Kiadah Fiqhiyyah</w:t>
      </w:r>
      <w:r>
        <w:rPr>
          <w:rFonts w:hint="default" w:ascii="Garamond" w:hAnsi="Garamond" w:cs="Garamond"/>
          <w:sz w:val="22"/>
          <w:szCs w:val="22"/>
        </w:rPr>
        <w:t xml:space="preserve"> (Surabaya: Revka Prima Media, 2020), 36.</w:t>
      </w:r>
      <w:r>
        <w:rPr>
          <w:rFonts w:hint="default" w:ascii="Garamond" w:hAnsi="Garamond" w:cs="Garamond"/>
          <w:sz w:val="22"/>
          <w:szCs w:val="22"/>
        </w:rPr>
        <w:fldChar w:fldCharType="end"/>
      </w:r>
    </w:p>
  </w:footnote>
  <w:footnote w:id="18">
    <w:p>
      <w:pPr>
        <w:pStyle w:val="6"/>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{"citationID":"B1IH5aH7","properties":{"formattedCitation":"Andiko, {\\i{}ILMU QAWA\\uc0\\u8217{}ID FIQHIYYAH}, 41.","plainCitation":"Andiko, ILMU QAWA’ID FIQHIYYAH, 41.","noteIndex":23},"citationItems":[{"id":1785,"uris":["http://zotero.org/users/6802635/items/YUZRJMWD"],"uri":["http://zotero.org/users/6802635/items/YUZRJMWD"],"itemData":{"id":1785,"type":"book","publisher":"Teras","source":"Google Scholar","title":"Ilmu Qawa’id Fiqhiyyah: Panduan Praktis Dalam Merespon Problematika Hukum Islam Kontemporer","title-short":"ILMU QAWA’ID FIQHIYYAH","author":[{"family":"Andiko","given":"Toha"}],"issued":{"date-parts":[["2011"]]}},"locator":"41"}],"schema":"https://github.com/citation-style-language/schema/raw/master/csl-citation.json"}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Andiko, </w:t>
      </w:r>
      <w:r>
        <w:rPr>
          <w:rFonts w:hint="default" w:ascii="Garamond" w:hAnsi="Garamond" w:cs="Garamond"/>
          <w:i/>
          <w:sz w:val="22"/>
          <w:szCs w:val="22"/>
        </w:rPr>
        <w:t>ILMU QAWA’ID FIQHIYYAH</w:t>
      </w:r>
      <w:r>
        <w:rPr>
          <w:rFonts w:hint="default" w:ascii="Garamond" w:hAnsi="Garamond" w:cs="Garamond"/>
          <w:sz w:val="22"/>
          <w:szCs w:val="22"/>
        </w:rPr>
        <w:t>, 41.</w:t>
      </w:r>
      <w:r>
        <w:rPr>
          <w:rFonts w:hint="default" w:ascii="Garamond" w:hAnsi="Garamond" w:cs="Garamond"/>
          <w:sz w:val="22"/>
          <w:szCs w:val="22"/>
        </w:rPr>
        <w:fldChar w:fldCharType="end"/>
      </w:r>
    </w:p>
  </w:footnote>
  <w:footnote w:id="19">
    <w:p>
      <w:pPr>
        <w:pStyle w:val="6"/>
        <w:spacing w:beforeLines="0" w:afterLines="0"/>
        <w:ind w:firstLine="720"/>
        <w:jc w:val="both"/>
        <w:rPr>
          <w:rFonts w:hint="default" w:ascii="Garamond" w:hAnsi="Garamond" w:cs="Garamond"/>
          <w:sz w:val="22"/>
          <w:szCs w:val="22"/>
        </w:rPr>
      </w:pPr>
      <w:r>
        <w:rPr>
          <w:rStyle w:val="11"/>
          <w:rFonts w:hint="default" w:ascii="Garamond" w:hAnsi="Garamond" w:eastAsia="SimSun"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{"citationID":"0xc9V1r4","properties":{"formattedCitation":"Athoillah Islamy, \\uc0\\u8220{}\\uc0\\u8234{}Pemikiran Hukum Islam Nurcholish Madjid\\uc0\\u8236{}\\uc0\\u8221{} (Disertasi, Pascasarjana Universitas Islam Negeri Walisongo, 2021), 114.","plainCitation":"Athoillah Islamy, “‪Pemikiran Hukum Islam Nurcholish Madjid‬” (Disertasi, Pascasarjana Universitas Islam Negeri Walisongo, 2021), 114.","noteIndex":24},"citationItems":[{"id":768,"uris":["http://zotero.org/users/6802635/items/VB8HXKQT"],"uri":["http://zotero.org/users/6802635/items/VB8HXKQT"],"itemData":{"id":768,"type":"thesis","event-place":"Semarang","genre":"Disertasi","publisher":"Pascasarjana Universitas Islam Negeri Walisongo","publisher-place":"Semarang","title":"‪Pemikiran Hukum Islam Nurcholish Madjid‬","author":[{"family":"Islamy","given":"Athoillah"}],"accessed":{"date-parts":[["2021",8,9]]},"issued":{"date-parts":[["2021"]]}},"locator":"114"}],"schema":"https://github.com/citation-style-language/schema/raw/master/csl-citation.json"}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Athoillah Islamy, “‪Pemikiran Hukum Islam Nurcholish Madjid‬” (Disertasi, Pascasarjana Universitas Islam Negeri Walisongo, 2021), 114.</w:t>
      </w:r>
      <w:r>
        <w:rPr>
          <w:rFonts w:hint="default" w:ascii="Garamond" w:hAnsi="Garamond" w:cs="Garamond"/>
          <w:sz w:val="22"/>
          <w:szCs w:val="22"/>
        </w:rPr>
        <w:fldChar w:fldCharType="end"/>
      </w:r>
    </w:p>
  </w:footnote>
  <w:footnote w:id="20">
    <w:p>
      <w:pPr>
        <w:pStyle w:val="6"/>
        <w:spacing w:beforeLines="0" w:afterLines="0"/>
        <w:ind w:firstLine="720"/>
        <w:jc w:val="both"/>
        <w:rPr>
          <w:rFonts w:hint="default" w:ascii="Garamond" w:hAnsi="Garamond" w:cs="Garamond"/>
          <w:sz w:val="22"/>
          <w:szCs w:val="22"/>
        </w:rPr>
      </w:pPr>
      <w:r>
        <w:rPr>
          <w:rStyle w:val="11"/>
          <w:rFonts w:hint="default" w:ascii="Garamond" w:hAnsi="Garamond" w:eastAsia="SimSun" w:cs="Garamond"/>
          <w:sz w:val="22"/>
          <w:szCs w:val="22"/>
        </w:rPr>
        <w:footnoteRef/>
      </w:r>
      <w:r>
        <w:rPr>
          <w:rFonts w:hint="default" w:ascii="Garamond" w:hAnsi="Garamond" w:cs="Garamond"/>
          <w:sz w:val="22"/>
          <w:szCs w:val="22"/>
          <w:lang w:val="zh-CN"/>
        </w:rPr>
        <w:fldChar w:fldCharType="begin"/>
      </w:r>
      <w:r>
        <w:rPr>
          <w:rFonts w:hint="default" w:ascii="Garamond" w:hAnsi="Garamond" w:cs="Garamond"/>
          <w:sz w:val="22"/>
          <w:szCs w:val="22"/>
          <w:lang w:val="zh-CN"/>
        </w:rPr>
        <w:instrText xml:space="preserve"> ADDIN ZOTERO_ITEM CSL_CITATION {"citationID":"jBeKm6G6","properties":{"formattedCitation":"Athoillah Islamy, \\uc0\\u8220{}Landasan Filosofis Dan Corak Pendekatan Abdurrahman Wahid Tentang Implementasi Hukum Islam Di Indonesia,\\uc0\\u8221{} {\\i{}Al-Adalah: Jurnal Hukum Dan Politik Islam} 6, no. 1 (2021): 51\\uc0\\u8211{}73.","plainCitation":"Athoillah Islamy, “Landasan Filosofis Dan Corak Pendekatan Abdurrahman Wahid Tentang Implementasi Hukum Islam Di Indonesia,” Al-Adalah: Jurnal Hukum Dan Politik Islam 6, no. 1 (2021): 51–73.","noteIndex":25},"citationItems":[{"id":1791,"uris":["http://zotero.org/users/6802635/items/IE6FI6HY"],"uri":["http://zotero.org/users/6802635/items/IE6FI6HY"],"itemData":{"id":1791,"type":"article-journal","container-title":"Al-Adalah: Jurnal Hukum dan Politik Islam","issue":"1","note":"publisher: Program Studi Hukum Tata Negara, Fakultas Syariah dan Hukum Islam IAIN Bone","page":"51–73","source":"Google Scholar","title":"Landasan Filosofis dan Corak Pendekatan Abdurrahman Wahid Tentang Implementasi Hukum Islam di Indonesia","volume":"6","author":[{"family":"Islamy","given":"Athoillah"}],"issued":{"date-parts":[["2021"]]}}}],"schema":"https://github.com/citation-style-language/schema/raw/master/csl-citation.json"} </w:instrText>
      </w:r>
      <w:r>
        <w:rPr>
          <w:rFonts w:hint="default" w:ascii="Garamond" w:hAnsi="Garamond" w:cs="Garamond"/>
          <w:sz w:val="22"/>
          <w:szCs w:val="22"/>
          <w:lang w:val="zh-CN"/>
        </w:rPr>
        <w:fldChar w:fldCharType="separate"/>
      </w:r>
      <w:r>
        <w:rPr>
          <w:rFonts w:hint="default" w:ascii="Garamond" w:hAnsi="Garamond" w:cs="Garamond"/>
          <w:sz w:val="22"/>
          <w:szCs w:val="22"/>
        </w:rPr>
        <w:t xml:space="preserve">Athoillah Islamy, “Landasan Filosofis Dan Corak Pendekatan Abdurrahman Wahid Tentang Implementasi Hukum Islam Di Indonesia,” </w:t>
      </w:r>
      <w:r>
        <w:rPr>
          <w:rFonts w:hint="default" w:ascii="Garamond" w:hAnsi="Garamond" w:cs="Garamond"/>
          <w:i/>
          <w:sz w:val="22"/>
          <w:szCs w:val="22"/>
        </w:rPr>
        <w:t>Al-Adalah: Jurnal Hukum Dan Politik Islam</w:t>
      </w:r>
      <w:r>
        <w:rPr>
          <w:rFonts w:hint="default" w:ascii="Garamond" w:hAnsi="Garamond" w:cs="Garamond"/>
          <w:sz w:val="22"/>
          <w:szCs w:val="22"/>
        </w:rPr>
        <w:t xml:space="preserve"> 6, no. 1 (2021): 51–73.</w:t>
      </w:r>
      <w:r>
        <w:rPr>
          <w:rFonts w:hint="default" w:ascii="Garamond" w:hAnsi="Garamond" w:cs="Garamond"/>
          <w:sz w:val="22"/>
          <w:szCs w:val="22"/>
        </w:rPr>
        <w:fldChar w:fldCharType="end"/>
      </w:r>
      <w:r>
        <w:rPr>
          <w:rFonts w:hint="default" w:ascii="Garamond" w:hAnsi="Garamond" w:cs="Garamond"/>
          <w:sz w:val="22"/>
          <w:szCs w:val="22"/>
          <w:lang w:val="id-ID"/>
        </w:rPr>
        <w:t>61</w:t>
      </w:r>
    </w:p>
  </w:footnote>
  <w:footnote w:id="21">
    <w:p>
      <w:pPr>
        <w:pStyle w:val="6"/>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{"citationID":"TMiJ8RR9","properties":{"formattedCitation":"Daud, \\uc0\\u8220{}ANALISA PEMIKIRAN MUSDAH MULIA DI MEDIA MASSA TENTANG HOMOSEKSUAL,\\uc0\\u8221{} 112\\uc0\\u8211{}13.","plainCitation":"Daud, “ANALISA PEMIKIRAN MUSDAH MULIA DI MEDIA MASSA TENTANG HOMOSEKSUAL,” 112–13.","noteIndex":26},"citationItems":[{"id":1801,"uris":["http://zotero.org/users/6802635/items/QXFB96EL"],"uri":["http://zotero.org/users/6802635/items/QXFB96EL"],"itemData":{"id":1801,"type":"article-journal","container-title":"AL MAQASHIDI","issue":"1","page":"111–131","source":"Google Scholar","title":"Analisa Pemikiran Musdah Mulia Di Media Massa Tentang Homoseksual: Kajian Historis, Teologis dan Psikologis","title-short":"ANALISA PEMIKIRAN MUSDAH MULIA DI MEDIA MASSA TENTANG HOMOSEKSUAL","volume":"2","author":[{"family":"Daud","given":"Fathonah K."}],"issued":{"date-parts":[["2019"]]}},"locator":"112-113","label":"page"}],"schema":"https://github.com/citation-style-language/schema/raw/master/csl-citation.json"}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Daud, “ANALISA PEMIKIRAN MUSDAH MULIA DI MEDIA MASSA TENTANG HOMOSEKSUAL,” 112–13.</w:t>
      </w:r>
      <w:r>
        <w:rPr>
          <w:rFonts w:hint="default" w:ascii="Garamond" w:hAnsi="Garamond" w:cs="Garamond"/>
          <w:sz w:val="22"/>
          <w:szCs w:val="22"/>
        </w:rPr>
        <w:fldChar w:fldCharType="end"/>
      </w:r>
    </w:p>
  </w:footnote>
  <w:footnote w:id="22">
    <w:p>
      <w:pPr>
        <w:pStyle w:val="6"/>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{"citationID":"jhULmzM1","properties":{"formattedCitation":"Mulia, {\\i{}Membangun Surga Di Bumi; Kiat-Kiat Membina Keluarga Islam Di Bumi}.","plainCitation":"Mulia, Membangun Surga Di Bumi; Kiat-Kiat Membina Keluarga Islam Di Bumi.","noteIndex":27},"citationItems":[{"id":1778,"uris":["http://zotero.org/users/6802635/items/YLCP66BE"],"uri":["http://zotero.org/users/6802635/items/YLCP66BE"],"itemData":{"id":1778,"type":"book","event-place":"Jakarta","publisher":"Quanta","publisher-place":"Jakarta","source":"Google Scholar","title":"Membangun Surga Di Bumi; Kiat-Kiat Membina Keluarga Islam Di Bumi","author":[{"family":"Mulia","given":"Musdah"}],"issued":{"date-parts":[["2011"]]}}}],"schema":"https://github.com/citation-style-language/schema/raw/master/csl-citation.json"}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Mulia, </w:t>
      </w:r>
      <w:r>
        <w:rPr>
          <w:rFonts w:hint="default" w:ascii="Garamond" w:hAnsi="Garamond" w:cs="Garamond"/>
          <w:i/>
          <w:sz w:val="22"/>
          <w:szCs w:val="22"/>
        </w:rPr>
        <w:t>Membangun Surga Di Bumi; Kiat-Kiat Membina Keluarga Islam Di Bumi</w:t>
      </w:r>
      <w:r>
        <w:rPr>
          <w:rFonts w:hint="default" w:ascii="Garamond" w:hAnsi="Garamond" w:cs="Garamond"/>
          <w:sz w:val="22"/>
          <w:szCs w:val="22"/>
        </w:rPr>
        <w:t>.</w:t>
      </w:r>
      <w:r>
        <w:rPr>
          <w:rFonts w:hint="default" w:ascii="Garamond" w:hAnsi="Garamond" w:cs="Garamond"/>
          <w:sz w:val="22"/>
          <w:szCs w:val="22"/>
        </w:rPr>
        <w:fldChar w:fldCharType="end"/>
      </w:r>
    </w:p>
  </w:footnote>
  <w:footnote w:id="23">
    <w:p>
      <w:pPr>
        <w:pStyle w:val="6"/>
        <w:snapToGrid w:val="0"/>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{"citationID":"4Ga0SoOT","properties":{"formattedCitation":"\\uc0\\u8220{}Huzaemah Tahido Yanggo,\\uc0\\u8221{} in {\\i{}Wikipedia bahasa Indonesia, ensiklopedia bebas}, October 26, 2021, https://id.wikipedia.org/w/index.php?title=Huzaemah_Tahido_Yanggo&amp;oldid=19317531.","plainCitation":"“Huzaemah Tahido Yanggo,” in Wikipedia bahasa Indonesia, ensiklopedia bebas, October 26, 2021, https://id.wikipedia.org/w/index.php?title=Huzaemah_Tahido_Yanggo&amp;oldid=19317531.","noteIndex":28},"citationItems":[{"id":1804,"uris":["http://zotero.org/users/6802635/items/TX9ZPLRB"],"uri":["http://zotero.org/users/6802635/items/TX9ZPLRB"],"itemData":{"id":1804,"type":"entry-encyclopedia","abstract":"Prof. Dr. Hj. Huzaemah Tahido Yanggo, M.A. (30 Desember 1946 – 23 Juli 2021) adalah pakar fikih perbandingan mazhab asal Indonesia. Huzaemah merupakan perempuan Indonesia pertama yang mendapatkan gelar doktor dari Universitas Al-Azhar, Mesir dan dengan predikat cum laude. Ia merupakan guru besar di Universitas Islam Negeri Syarif Hidayatullah yang kini juga menjabat sebagai rektor Institut Ilmu Al-Quran, Jakarta (2018-2022). Huzaemah juga aktif menjadi anggota MUI, ia menjadi anggota Komisi Fatwa MUI sejak tahun 1987 dan anggota Dewan Syariah Nasional MUI sejak 1997 dan 2000. Huzaemah juga pernah menjabat sebagai ketua bidang Fatwa Majelis Ulama Indonesia. Pada 2000, ia diangkat menjadi Ketua Majelis Ulama Indonesia (MUI) Pusat Bidang Pengajian dan Pengembangan sosial.Beberapa buku yang ditulisnya antara lain adalah \"Pengantar Perbandingan Mazhab\" (2003), \"Masail Fiqhiyah: Kajian Hukum Islam Kontemporer\" (2005), dan \"Fikih Perempuan Kontemporer\" (2010).","container-title":"Wikipedia bahasa Indonesia, ensiklopedia bebas","language":"id","note":"Page Version ID: 19317531","source":"Wikipedia","title":"Huzaemah Tahido Yanggo","URL":"https://id.wikipedia.org/w/index.php?title=Huzaemah_Tahido_Yanggo&amp;oldid=19317531","accessed":{"date-parts":[["2022",2,25]]},"issued":{"date-parts":[["2021",10,26]]}}}],"schema":"https://github.com/citation-style-language/schema/raw/master/csl-citation.json"}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“Huzaemah Tahido Yanggo,” in </w:t>
      </w:r>
      <w:r>
        <w:rPr>
          <w:rFonts w:hint="default" w:ascii="Garamond" w:hAnsi="Garamond" w:cs="Garamond"/>
          <w:i/>
          <w:sz w:val="22"/>
          <w:szCs w:val="22"/>
        </w:rPr>
        <w:t>Wikipedia bahasa Indonesia, ensiklopedia bebas</w:t>
      </w:r>
      <w:r>
        <w:rPr>
          <w:rFonts w:hint="default" w:ascii="Garamond" w:hAnsi="Garamond" w:cs="Garamond"/>
          <w:sz w:val="22"/>
          <w:szCs w:val="22"/>
        </w:rPr>
        <w:t>, October 26, 2021, https://id.wikipedia.org/w/index.php?title=Huzaemah_Tahido_Yanggo&amp;oldid=19317531.</w:t>
      </w:r>
      <w:r>
        <w:rPr>
          <w:rFonts w:hint="default" w:ascii="Garamond" w:hAnsi="Garamond" w:cs="Garamond"/>
          <w:sz w:val="22"/>
          <w:szCs w:val="22"/>
        </w:rPr>
        <w:fldChar w:fldCharType="end"/>
      </w:r>
    </w:p>
  </w:footnote>
  <w:footnote w:id="24">
    <w:p>
      <w:pPr>
        <w:pStyle w:val="6"/>
        <w:snapToGrid w:val="0"/>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{"citationID":"wQwoVAXm","properties":{"formattedCitation":"Yanggo, \\uc0\\u8220{}Penyimpangan Seksual (LGBT) Dalam Pandangan Hukum Islam.\\uc0\\u8221{}","plainCitation":"Yanggo, “Penyimpangan Seksual (LGBT) Dalam Pandangan Hukum Islam.”","noteIndex":29},"citationItems":[{"id":1806,"uris":["http://zotero.org/users/6802635/items/H92NJCGJ"],"uri":["http://zotero.org/users/6802635/items/H92NJCGJ"],"itemData":{"id":1806,"type":"article-journal","container-title":"MISYKAT Jurnal Ilmu-ilmu Al-Quran Hadist Syari ah dan Tarbiyah","issue":"2","page":"1–28","source":"Google Scholar","title":"Penyimpangan Seksual (LGBT) Dalam Pandangan Hukum Islam","volume":"3","author":[{"family":"Yanggo","given":"Huzaemah Tahido"}],"issued":{"date-parts":[["2018"]]}}}],"schema":"https://github.com/citation-style-language/schema/raw/master/csl-citation.json"}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Yanggo, “Penyimpangan Seksual (LGBT) Dalam Pandangan Hukum Islam.”</w:t>
      </w:r>
      <w:r>
        <w:rPr>
          <w:rFonts w:hint="default" w:ascii="Garamond" w:hAnsi="Garamond" w:cs="Garamond"/>
          <w:sz w:val="22"/>
          <w:szCs w:val="22"/>
        </w:rPr>
        <w:fldChar w:fldCharType="end"/>
      </w:r>
    </w:p>
  </w:footnote>
  <w:footnote w:id="25">
    <w:p>
      <w:pPr>
        <w:pStyle w:val="6"/>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{"citationID":"O5DE0yjS","properties":{"formattedCitation":"Mamluatun Nafisah, \\uc0\\u8220{}Respon Al-Qur\\uc0\\u226{}\\uc0\\u8364{}\\super TM\\nosupersub{} an Terhadap Legalitas Kaum LGBT,\\uc0\\u8221{} {\\i{}Jurnal Studi Al-Qur\\uc0\\u8217{}an} 15, no. 1 (2019): 81.","plainCitation":"Mamluatun Nafisah, “Respon Al-Qurâ€TM an Terhadap Legalitas Kaum LGBT,” Jurnal Studi Al-Qur’an 15, no. 1 (2019): 81.","noteIndex":30},"citationItems":[{"id":1810,"uris":["http://zotero.org/users/6802635/items/6B6VQHPC"],"uri":["http://zotero.org/users/6802635/items/6B6VQHPC"],"itemData":{"id":1810,"type":"article-journal","container-title":"Jurnal Studi Al-Qur'an","issue":"1","page":"77–94","source":"Google Scholar","title":"Respon Al-Qurâ€™ an Terhadap Legalitas Kaum LGBT","volume":"15","author":[{"family":"Nafisah","given":"Mamluatun"}],"issued":{"date-parts":[["2019"]]}},"locator":"81"}],"schema":"https://github.com/citation-style-language/schema/raw/master/csl-citation.json"}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Mamluatun Nafisah, “Respon Al-Qurâ€</w:t>
      </w:r>
      <w:r>
        <w:rPr>
          <w:rFonts w:hint="default" w:ascii="Garamond" w:hAnsi="Garamond" w:cs="Garamond"/>
          <w:sz w:val="22"/>
          <w:szCs w:val="22"/>
          <w:vertAlign w:val="superscript"/>
        </w:rPr>
        <w:t>TM</w:t>
      </w:r>
      <w:r>
        <w:rPr>
          <w:rFonts w:hint="default" w:ascii="Garamond" w:hAnsi="Garamond" w:cs="Garamond"/>
          <w:sz w:val="22"/>
          <w:szCs w:val="22"/>
        </w:rPr>
        <w:t xml:space="preserve"> an Terhadap Legalitas Kaum LGBT,” </w:t>
      </w:r>
      <w:r>
        <w:rPr>
          <w:rFonts w:hint="default" w:ascii="Garamond" w:hAnsi="Garamond" w:cs="Garamond"/>
          <w:i/>
          <w:sz w:val="22"/>
          <w:szCs w:val="22"/>
        </w:rPr>
        <w:t>Jurnal Studi Al-Qur’an</w:t>
      </w:r>
      <w:r>
        <w:rPr>
          <w:rFonts w:hint="default" w:ascii="Garamond" w:hAnsi="Garamond" w:cs="Garamond"/>
          <w:sz w:val="22"/>
          <w:szCs w:val="22"/>
        </w:rPr>
        <w:t xml:space="preserve"> 15, no. 1 (2019): 81.</w:t>
      </w:r>
      <w:r>
        <w:rPr>
          <w:rFonts w:hint="default" w:ascii="Garamond" w:hAnsi="Garamond" w:cs="Garamond"/>
          <w:sz w:val="22"/>
          <w:szCs w:val="22"/>
        </w:rPr>
        <w:fldChar w:fldCharType="end"/>
      </w:r>
    </w:p>
  </w:footnote>
  <w:footnote w:id="26">
    <w:p>
      <w:pPr>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{"citationID":"O94nkTue","properties":{"formattedCitation":"Ibid., 81\\uc0\\u8211{}83.","plainCitation":"Ibid., 81–83.","noteIndex":31},"citationItems":[{"id":1810,"uris":["http://zotero.org/users/6802635/items/6B6VQHPC"],"uri":["http://zotero.org/users/6802635/items/6B6VQHPC"],"itemData":{"id":1810,"type":"article-journal","container-title":"Jurnal Studi Al-Qur'an","issue":"1","page":"77–94","source":"Google Scholar","title":"Respon Al-Qurâ€™ an Terhadap Legalitas Kaum LGBT","volume":"15","author":[{"family":"Nafisah","given":"Mamluatun"}],"issued":{"date-parts":[["2019"]]}},"locator":"81-83"}],"schema":"https://github.com/citation-style-language/schema/raw/master/csl-citation.json"}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Ibid., 81–83.</w:t>
      </w:r>
      <w:r>
        <w:rPr>
          <w:rFonts w:hint="default" w:ascii="Garamond" w:hAnsi="Garamond" w:cs="Garamond"/>
          <w:sz w:val="22"/>
          <w:szCs w:val="22"/>
        </w:rPr>
        <w:fldChar w:fldCharType="end"/>
      </w:r>
    </w:p>
  </w:footnote>
  <w:footnote w:id="27">
    <w:p>
      <w:pPr>
        <w:pStyle w:val="6"/>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{"citationID":"WNPl1aNq","properties":{"formattedCitation":"Mulia, {\\i{}Membangun Surga Di Bumi; Kiat-Kiat Membina Keluarga Islam Di Bumi}, 252\\uc0\\u8211{}63.","plainCitation":"Mulia, Membangun Surga Di Bumi; Kiat-Kiat Membina Keluarga Islam Di Bumi, 252–63.","noteIndex":32},"citationItems":[{"id":1778,"uris":["http://zotero.org/users/6802635/items/YLCP66BE"],"uri":["http://zotero.org/users/6802635/items/YLCP66BE"],"itemData":{"id":1778,"type":"book","event-place":"Jakarta","publisher":"Quanta","publisher-place":"Jakarta","source":"Google Scholar","title":"Membangun Surga Di Bumi; Kiat-Kiat Membina Keluarga Islam Di Bumi","author":[{"family":"Mulia","given":"Musdah"}],"issued":{"date-parts":[["2011"]]}},"locator":"252-263"}],"schema":"https://github.com/citation-style-language/schema/raw/master/csl-citation.json"}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Mulia, </w:t>
      </w:r>
      <w:r>
        <w:rPr>
          <w:rFonts w:hint="default" w:ascii="Garamond" w:hAnsi="Garamond" w:cs="Garamond"/>
          <w:i/>
          <w:sz w:val="22"/>
          <w:szCs w:val="22"/>
        </w:rPr>
        <w:t>Membangun Surga Di Bumi; Kiat-Kiat Membina Keluarga Islam Di Bumi</w:t>
      </w:r>
      <w:r>
        <w:rPr>
          <w:rFonts w:hint="default" w:ascii="Garamond" w:hAnsi="Garamond" w:cs="Garamond"/>
          <w:sz w:val="22"/>
          <w:szCs w:val="22"/>
        </w:rPr>
        <w:t>, 252–63.</w:t>
      </w:r>
      <w:r>
        <w:rPr>
          <w:rFonts w:hint="default" w:ascii="Garamond" w:hAnsi="Garamond" w:cs="Garamond"/>
          <w:sz w:val="22"/>
          <w:szCs w:val="22"/>
        </w:rPr>
        <w:fldChar w:fldCharType="end"/>
      </w:r>
    </w:p>
  </w:footnote>
  <w:footnote w:id="28">
    <w:p>
      <w:pPr>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{"citationID":"ZaS8BWWg","properties":{"formattedCitation":"Firdausy, \\uc0\\u8220{}Epistemologi Penafsiran Musdah Mulia Tentang Homoseksual,\\uc0\\u8221{} i.","plainCitation":"Firdausy, “Epistemologi Penafsiran Musdah Mulia Tentang Homoseksual,” i.","noteIndex":33},"citationItems":[{"id":1781,"uris":["http://zotero.org/users/6802635/items/QSJWRTU9"],"uri":["http://zotero.org/users/6802635/items/QSJWRTU9"],"itemData":{"id":1781,"type":"thesis","genre":"PhD Thesis","publisher":"Institut PTIQ Jakarta","source":"Google Scholar","title":"Epistemologi Penafsiran Musdah Mulia tentang Homoseksual","author":[{"family":"Firdausy","given":"Ahmad Royhan"}],"issued":{"date-parts":[["2018"]]}},"locator":"i","label":"page"}],"schema":"https://github.com/citation-style-language/schema/raw/master/csl-citation.json"}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Firdausy, “Epistemologi Penafsiran Musdah Mulia Tentang Homoseksual,” i.</w:t>
      </w:r>
      <w:r>
        <w:rPr>
          <w:rFonts w:hint="default" w:ascii="Garamond" w:hAnsi="Garamond" w:cs="Garamond"/>
          <w:sz w:val="22"/>
          <w:szCs w:val="22"/>
        </w:rPr>
        <w:fldChar w:fldCharType="end"/>
      </w:r>
    </w:p>
  </w:footnote>
  <w:footnote w:id="29">
    <w:p>
      <w:pPr>
        <w:pStyle w:val="6"/>
        <w:snapToGrid w:val="0"/>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{"citationID":"F8Jw1bVA","properties":{"formattedCitation":"Ibid., 126\\uc0\\u8211{}49.","plainCitation":"Ibid., 126–49.","noteIndex":34},"citationItems":[{"id":1781,"uris":["http://zotero.org/users/6802635/items/QSJWRTU9"],"uri":["http://zotero.org/users/6802635/items/QSJWRTU9"],"itemData":{"id":1781,"type":"thesis","genre":"PhD Thesis","publisher":"Institut PTIQ Jakarta","source":"Google Scholar","title":"Epistemologi Penafsiran Musdah Mulia tentang Homoseksual","author":[{"family":"Firdausy","given":"Ahmad Royhan"}],"issued":{"date-parts":[["2018"]]}},"locator":"126-149","label":"page"}],"schema":"https://github.com/citation-style-language/schema/raw/master/csl-citation.json"}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Ibid., 126–49.</w:t>
      </w:r>
      <w:r>
        <w:rPr>
          <w:rFonts w:hint="default" w:ascii="Garamond" w:hAnsi="Garamond" w:cs="Garamond"/>
          <w:sz w:val="22"/>
          <w:szCs w:val="22"/>
        </w:rPr>
        <w:fldChar w:fldCharType="end"/>
      </w:r>
    </w:p>
  </w:footnote>
  <w:footnote w:id="30">
    <w:p>
      <w:pPr>
        <w:pStyle w:val="6"/>
        <w:snapToGrid w:val="0"/>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{"citationID":"DRLQWt0F","properties":{"formattedCitation":"Yanggo, \\uc0\\u8220{}Penyimpangan Seksual (LGBT) Dalam Pandangan Hukum Islam,\\uc0\\u8221{} 1.","plainCitation":"Yanggo, “Penyimpangan Seksual (LGBT) Dalam Pandangan Hukum Islam,” 1.","noteIndex":35},"citationItems":[{"id":1806,"uris":["http://zotero.org/users/6802635/items/H92NJCGJ"],"uri":["http://zotero.org/users/6802635/items/H92NJCGJ"],"itemData":{"id":1806,"type":"article-journal","container-title":"MISYKAT Jurnal Ilmu-ilmu Al-Quran Hadist Syari ah dan Tarbiyah","issue":"2","page":"1–28","source":"Google Scholar","title":"Penyimpangan Seksual (LGBT) Dalam Pandangan Hukum Islam","volume":"3","author":[{"family":"Yanggo","given":"Huzaemah Tahido"}],"issued":{"date-parts":[["2018"]]}},"locator":"1","label":"page"}],"schema":"https://github.com/citation-style-language/schema/raw/master/csl-citation.json"}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Yanggo, “Penyimpangan Seksual (LGBT) Dalam Pandangan Hukum Islam,” 1.</w:t>
      </w:r>
      <w:r>
        <w:rPr>
          <w:rFonts w:hint="default" w:ascii="Garamond" w:hAnsi="Garamond" w:cs="Garamond"/>
          <w:sz w:val="22"/>
          <w:szCs w:val="22"/>
        </w:rPr>
        <w:fldChar w:fldCharType="end"/>
      </w:r>
    </w:p>
  </w:footnote>
  <w:footnote w:id="31">
    <w:p>
      <w:pPr>
        <w:pStyle w:val="6"/>
        <w:snapToGrid w:val="0"/>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{"citationID":"LuQ7J8Pe","properties":{"formattedCitation":"Ibid., 3\\uc0\\u8211{}4.","plainCitation":"Ibid., 3–4.","noteIndex":36},"citationItems":[{"id":1806,"uris":["http://zotero.org/users/6802635/items/H92NJCGJ"],"uri":["http://zotero.org/users/6802635/items/H92NJCGJ"],"itemData":{"id":1806,"type":"article-journal","container-title":"MISYKAT Jurnal Ilmu-ilmu Al-Quran Hadist Syari ah dan Tarbiyah","issue":"2","page":"1–28","source":"Google Scholar","title":"Penyimpangan Seksual (LGBT) Dalam Pandangan Hukum Islam","volume":"3","author":[{"family":"Yanggo","given":"Huzaemah Tahido"}],"issued":{"date-parts":[["2018"]]}},"locator":"3-4"}],"schema":"https://github.com/citation-style-language/schema/raw/master/csl-citation.json"}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Ibid., 3–4.</w:t>
      </w:r>
      <w:r>
        <w:rPr>
          <w:rFonts w:hint="default" w:ascii="Garamond" w:hAnsi="Garamond" w:cs="Garamond"/>
          <w:sz w:val="22"/>
          <w:szCs w:val="22"/>
        </w:rPr>
        <w:fldChar w:fldCharType="end"/>
      </w:r>
    </w:p>
  </w:footnote>
  <w:footnote w:id="32">
    <w:p>
      <w:pPr>
        <w:pStyle w:val="6"/>
        <w:snapToGrid w:val="0"/>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{"citationID":"d81tDQrC","properties":{"formattedCitation":"Ibid., 11\\uc0\\u8211{}12.","plainCitation":"Ibid., 11–12.","noteIndex":37},"citationItems":[{"id":1806,"uris":["http://zotero.org/users/6802635/items/H92NJCGJ"],"uri":["http://zotero.org/users/6802635/items/H92NJCGJ"],"itemData":{"id":1806,"type":"article-journal","container-title":"MISYKAT Jurnal Ilmu-ilmu Al-Quran Hadist Syari ah dan Tarbiyah","issue":"2","page":"1–28","source":"Google Scholar","title":"Penyimpangan Seksual (LGBT) Dalam Pandangan Hukum Islam","volume":"3","author":[{"family":"Yanggo","given":"Huzaemah Tahido"}],"issued":{"date-parts":[["2018"]]}},"locator":"11-12"}],"schema":"https://github.com/citation-style-language/schema/raw/master/csl-citation.json"}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Ibid., 11–12.</w:t>
      </w:r>
      <w:r>
        <w:rPr>
          <w:rFonts w:hint="default" w:ascii="Garamond" w:hAnsi="Garamond" w:cs="Garamond"/>
          <w:sz w:val="22"/>
          <w:szCs w:val="22"/>
        </w:rPr>
        <w:fldChar w:fldCharType="end"/>
      </w:r>
    </w:p>
  </w:footnote>
  <w:footnote w:id="33">
    <w:p>
      <w:pPr>
        <w:pStyle w:val="6"/>
        <w:snapToGrid w:val="0"/>
        <w:spacing w:beforeLines="0" w:afterLines="0"/>
        <w:ind w:firstLine="720"/>
        <w:jc w:val="both"/>
        <w:rPr>
          <w:rFonts w:hint="default" w:ascii="Garamond" w:hAnsi="Garamond" w:cs="Garamond"/>
          <w:sz w:val="22"/>
          <w:szCs w:val="22"/>
          <w:lang w:val="en-US"/>
        </w:rPr>
      </w:pPr>
      <w:r>
        <w:rPr>
          <w:rStyle w:val="5"/>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lang w:val="en-US"/>
        </w:rPr>
        <w:t xml:space="preserve">Athoillah Islamy, “Eksistensi Hukum Keluarga Islam di Indonesia dalam Kontestasi Politik Hukum dan Liberalisme Pemikiran Islam,” </w:t>
      </w:r>
      <w:r>
        <w:rPr>
          <w:rFonts w:hint="default" w:ascii="Garamond" w:hAnsi="Garamond" w:cs="Garamond"/>
          <w:i/>
          <w:iCs/>
          <w:sz w:val="22"/>
          <w:szCs w:val="22"/>
          <w:lang w:val="en-US"/>
        </w:rPr>
        <w:t>Al-Istinbath : Jurnal Hukum Islam</w:t>
      </w:r>
      <w:r>
        <w:rPr>
          <w:rFonts w:hint="default" w:ascii="Garamond" w:hAnsi="Garamond" w:cs="Garamond"/>
          <w:sz w:val="22"/>
          <w:szCs w:val="22"/>
          <w:lang w:val="en-US"/>
        </w:rPr>
        <w:t xml:space="preserve"> 4, no.2 (2019): 169-171.</w:t>
      </w:r>
    </w:p>
  </w:footnote>
  <w:footnote w:id="34">
    <w:p>
      <w:pPr>
        <w:pStyle w:val="6"/>
        <w:snapToGrid w:val="0"/>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{"citationID":"zVgFxxSd","properties":{"formattedCitation":"Ibid., 25\\uc0\\u8211{}27.","plainCitation":"Ibid., 25–27.","noteIndex":38},"citationItems":[{"id":1806,"uris":["http://zotero.org/users/6802635/items/H92NJCGJ"],"uri":["http://zotero.org/users/6802635/items/H92NJCGJ"],"itemData":{"id":1806,"type":"article-journal","container-title":"MISYKAT Jurnal Ilmu-ilmu Al-Quran Hadist Syari ah dan Tarbiyah","issue":"2","page":"1–28","source":"Google Scholar","title":"Penyimpangan Seksual (LGBT) Dalam Pandangan Hukum Islam","volume":"3","author":[{"family":"Yanggo","given":"Huzaemah Tahido"}],"issued":{"date-parts":[["2018"]]}},"locator":"25-27"}],"schema":"https://github.com/citation-style-language/schema/raw/master/csl-citation.json"}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Ibid., 25–27.</w:t>
      </w:r>
      <w:r>
        <w:rPr>
          <w:rFonts w:hint="default" w:ascii="Garamond" w:hAnsi="Garamond" w:cs="Garamond"/>
          <w:sz w:val="22"/>
          <w:szCs w:val="22"/>
        </w:rPr>
        <w:fldChar w:fldCharType="end"/>
      </w:r>
    </w:p>
  </w:footnote>
  <w:footnote w:id="35">
    <w:p>
      <w:pPr>
        <w:pStyle w:val="6"/>
        <w:snapToGrid w:val="0"/>
        <w:ind w:firstLine="720" w:firstLineChars="0"/>
        <w:jc w:val="both"/>
        <w:rPr>
          <w:rFonts w:hint="default" w:ascii="Garamond" w:hAnsi="Garamond" w:cs="Garamond"/>
          <w:sz w:val="22"/>
          <w:szCs w:val="22"/>
          <w:lang w:val="en-US"/>
        </w:rPr>
      </w:pPr>
      <w:r>
        <w:rPr>
          <w:rStyle w:val="5"/>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lang w:val="en-US"/>
        </w:rPr>
        <w:t>Husaini, Athoillah Islamy, “Harmonization of Religion and State: Mainstreaming thhe Values of Relgious Moderation in Indonesian Da’wah Orientation,”</w:t>
      </w:r>
      <w:r>
        <w:rPr>
          <w:rFonts w:hint="default" w:ascii="Garamond" w:hAnsi="Garamond" w:cs="Garamond"/>
          <w:i/>
          <w:iCs/>
          <w:sz w:val="22"/>
          <w:szCs w:val="22"/>
          <w:lang w:val="en-US"/>
        </w:rPr>
        <w:t xml:space="preserve"> Jurnal Al-Adalah : Jurnal Hukum dan Politik Islam</w:t>
      </w:r>
      <w:r>
        <w:rPr>
          <w:rFonts w:hint="default" w:ascii="Garamond" w:hAnsi="Garamond" w:cs="Garamond"/>
          <w:sz w:val="22"/>
          <w:szCs w:val="22"/>
          <w:lang w:val="en-US"/>
        </w:rPr>
        <w:t xml:space="preserve"> 7, no.1(2022):57.</w:t>
      </w:r>
    </w:p>
  </w:footnote>
  <w:footnote w:id="36">
    <w:p>
      <w:pPr>
        <w:keepNext w:val="0"/>
        <w:keepLines w:val="0"/>
        <w:widowControl/>
        <w:suppressLineNumbers w:val="0"/>
        <w:ind w:firstLine="720" w:firstLineChars="0"/>
        <w:jc w:val="both"/>
        <w:rPr>
          <w:rFonts w:hint="default" w:ascii="Garamond" w:hAnsi="Garamond" w:cs="Garamond"/>
          <w:sz w:val="22"/>
          <w:szCs w:val="22"/>
          <w:lang w:val="en-US"/>
        </w:rPr>
      </w:pPr>
      <w:r>
        <w:rPr>
          <w:rStyle w:val="5"/>
          <w:rFonts w:hint="default" w:ascii="Garamond" w:hAnsi="Garamond" w:cs="Garamond"/>
          <w:sz w:val="22"/>
          <w:szCs w:val="22"/>
        </w:rPr>
        <w:footnoteRef/>
      </w:r>
      <w:r>
        <w:rPr>
          <w:rFonts w:hint="default" w:ascii="Garamond" w:hAnsi="Garamond" w:cs="Garamond"/>
          <w:sz w:val="22"/>
          <w:szCs w:val="22"/>
        </w:rPr>
        <w:t xml:space="preserve"> </w:t>
      </w:r>
      <w:r>
        <w:rPr>
          <w:rFonts w:hint="default" w:ascii="Garamond" w:hAnsi="Garamond" w:cs="Garamond"/>
          <w:sz w:val="22"/>
          <w:szCs w:val="22"/>
          <w:lang w:val="en-US"/>
        </w:rPr>
        <w:t xml:space="preserve">Amirullah, Eko Siswanto, Syaiful Muhyidin, Athoillah Islamy, “Pancasila dan Kerukunan Hidup Umat Beragama :Maniifestasi Nilai-Nilai Pancasila dalam Peran Forum </w:t>
      </w:r>
      <w:r>
        <w:rPr>
          <w:rFonts w:hint="default" w:ascii="Garamond" w:hAnsi="Garamond" w:eastAsia="SimSun" w:cs="Garamond"/>
          <w:b w:val="0"/>
          <w:bCs w:val="0"/>
          <w:color w:val="000000"/>
          <w:kern w:val="0"/>
          <w:sz w:val="22"/>
          <w:szCs w:val="22"/>
          <w:lang w:val="en-US" w:eastAsia="zh-CN" w:bidi="ar"/>
        </w:rPr>
        <w:t xml:space="preserve">Kerukunan </w:t>
      </w:r>
      <w:r>
        <w:rPr>
          <w:rFonts w:hint="default" w:ascii="Garamond" w:hAnsi="Garamond" w:cs="Garamond"/>
          <w:sz w:val="22"/>
          <w:szCs w:val="22"/>
          <w:lang w:val="en-US"/>
        </w:rPr>
        <w:t xml:space="preserve">Hidup Umat Beragama Kota Jayapura,” </w:t>
      </w:r>
      <w:r>
        <w:rPr>
          <w:rFonts w:hint="default" w:ascii="Garamond" w:hAnsi="Garamond" w:cs="Garamond"/>
          <w:i/>
          <w:iCs/>
          <w:sz w:val="22"/>
          <w:szCs w:val="22"/>
          <w:lang w:val="en-US"/>
        </w:rPr>
        <w:t xml:space="preserve">Inovatif </w:t>
      </w:r>
      <w:r>
        <w:rPr>
          <w:rFonts w:hint="default" w:ascii="Garamond" w:hAnsi="Garamond" w:cs="Garamond"/>
          <w:sz w:val="22"/>
          <w:szCs w:val="22"/>
          <w:lang w:val="en-US"/>
        </w:rPr>
        <w:t>8,no1 (2022): 202</w:t>
      </w:r>
    </w:p>
  </w:footnote>
  <w:footnote w:id="37">
    <w:p>
      <w:pPr>
        <w:keepNext w:val="0"/>
        <w:keepLines w:val="0"/>
        <w:widowControl/>
        <w:suppressLineNumbers w:val="0"/>
        <w:ind w:firstLine="720" w:firstLineChars="0"/>
        <w:jc w:val="both"/>
        <w:rPr>
          <w:rFonts w:hint="default" w:ascii="Garamond" w:hAnsi="Garamond" w:cs="Garamond"/>
          <w:b w:val="0"/>
          <w:bCs w:val="0"/>
          <w:sz w:val="22"/>
          <w:szCs w:val="22"/>
          <w:lang w:val="en-US"/>
        </w:rPr>
      </w:pPr>
      <w:r>
        <w:rPr>
          <w:rStyle w:val="5"/>
        </w:rPr>
        <w:footnoteRef/>
      </w:r>
      <w:r>
        <w:rPr>
          <w:rFonts w:hint="default" w:ascii="Garamond" w:hAnsi="Garamond" w:cs="Garamond"/>
          <w:b w:val="0"/>
          <w:bCs w:val="0"/>
          <w:sz w:val="22"/>
          <w:szCs w:val="22"/>
        </w:rPr>
        <w:t xml:space="preserve"> </w:t>
      </w:r>
      <w:r>
        <w:rPr>
          <w:rFonts w:hint="default" w:ascii="Garamond" w:hAnsi="Garamond" w:eastAsia="SimSun" w:cs="Garamond"/>
          <w:b w:val="0"/>
          <w:bCs w:val="0"/>
          <w:color w:val="000000"/>
          <w:kern w:val="0"/>
          <w:sz w:val="22"/>
          <w:szCs w:val="22"/>
          <w:lang w:val="en-US" w:eastAsia="zh-CN" w:bidi="ar"/>
        </w:rPr>
        <w:t xml:space="preserve">Mohamad Badrun Zaman, Muhammd Syukri Nawir, Athoillah Islamy, Afina Aninnas, “Harmonisasi Pendidikan Islam danNegara :Pengarustamaan Nilai-Nilai Pancasila Dalam Orientasi Pendidikan Pesantren di Indonesia,” </w:t>
      </w:r>
      <w:r>
        <w:rPr>
          <w:rFonts w:hint="default" w:ascii="Garamond" w:hAnsi="Garamond" w:eastAsia="SimSun" w:cs="Garamond"/>
          <w:b w:val="0"/>
          <w:bCs w:val="0"/>
          <w:i/>
          <w:iCs/>
          <w:color w:val="000000"/>
          <w:kern w:val="0"/>
          <w:sz w:val="22"/>
          <w:szCs w:val="22"/>
          <w:lang w:val="en-US" w:eastAsia="zh-CN" w:bidi="ar"/>
        </w:rPr>
        <w:t xml:space="preserve">Jurnal Tarbawi STAI Al Fithrah </w:t>
      </w:r>
      <w:r>
        <w:rPr>
          <w:rFonts w:hint="default" w:ascii="Garamond" w:hAnsi="Garamond" w:cs="Garamond"/>
          <w:b w:val="0"/>
          <w:bCs w:val="0"/>
          <w:sz w:val="22"/>
          <w:szCs w:val="22"/>
          <w:lang w:val="en-US"/>
        </w:rPr>
        <w:t>10, No.2 (2022):142.</w:t>
      </w:r>
    </w:p>
  </w:footnote>
  <w:footnote w:id="38">
    <w:p>
      <w:pPr>
        <w:pStyle w:val="6"/>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{"citationID":"1ynhvi7p","properties":{"formattedCitation":"Ibrahim, {\\i{}Al-Qawa`id Al-Fiqhiyah}, 56.","plainCitation":"Ibrahim, Al-Qawa`id Al-Fiqhiyah, 56.","noteIndex":39},"citationItems":[{"id":350,"uris":["http://zotero.org/users/6802635/items/JUFBRA8L"],"uri":["http://zotero.org/users/6802635/items/JUFBRA8L"],"itemData":{"id":350,"type":"book","event-place":"Palembang","publisher":"Noer Fikri","publisher-place":"Palembang","title":"Al-Qawa`id Al-Fiqhiyah","author":[{"family":"Ibrahim","given":"Dasuki"}],"accessed":{"date-parts":[["2021",5,18]]},"issued":{"date-parts":[["2019"]]}},"locator":"56"}],"schema":"https://github.com/citation-style-language/schema/raw/master/csl-citation.json"}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Ibrahim, </w:t>
      </w:r>
      <w:r>
        <w:rPr>
          <w:rFonts w:hint="default" w:ascii="Garamond" w:hAnsi="Garamond" w:cs="Garamond"/>
          <w:i/>
          <w:sz w:val="22"/>
          <w:szCs w:val="22"/>
        </w:rPr>
        <w:t>Al-Qawa`id Al-Fiqhiyah</w:t>
      </w:r>
      <w:r>
        <w:rPr>
          <w:rFonts w:hint="default" w:ascii="Garamond" w:hAnsi="Garamond" w:cs="Garamond"/>
          <w:sz w:val="22"/>
          <w:szCs w:val="22"/>
        </w:rPr>
        <w:t>, 56.</w:t>
      </w:r>
      <w:r>
        <w:rPr>
          <w:rFonts w:hint="default" w:ascii="Garamond" w:hAnsi="Garamond" w:cs="Garamond"/>
          <w:sz w:val="22"/>
          <w:szCs w:val="22"/>
        </w:rPr>
        <w:fldChar w:fldCharType="end"/>
      </w:r>
    </w:p>
  </w:footnote>
  <w:footnote w:id="39">
    <w:p>
      <w:pPr>
        <w:pStyle w:val="6"/>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{"citationID":"BYkXA6eh","properties":{"formattedCitation":"Dadang Hawari, \\uc0\\u8220{}Pendekatan Psikoreligi Pada Homoseksual,\\uc0\\u8221{} {\\i{}Jakarta: Balai Penerbit FKUI}, 2009, 48\\uc0\\u8211{}49.","plainCitation":"Dadang Hawari, “Pendekatan Psikoreligi Pada Homoseksual,” Jakarta: Balai Penerbit FKUI, 2009, 48–49.","noteIndex":40},"citationItems":[{"id":1794,"uris":["http://zotero.org/users/6802635/items/HVMNW3JL"],"uri":["http://zotero.org/users/6802635/items/HVMNW3JL"],"itemData":{"id":1794,"type":"article-journal","container-title":"Jakarta: Balai Penerbit FKUI","source":"Google Scholar","title":"Pendekatan psikoreligi pada homoseksual","author":[{"family":"Hawari","given":"Dadang"}],"issued":{"date-parts":[["2009"]]}},"locator":"48-49","label":"page"}],"schema":"https://github.com/citation-style-language/schema/raw/master/csl-citation.json"}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Dadang Hawari, “Pendekatan Psikoreligi Pada Homoseksual,” </w:t>
      </w:r>
      <w:r>
        <w:rPr>
          <w:rFonts w:hint="default" w:ascii="Garamond" w:hAnsi="Garamond" w:cs="Garamond"/>
          <w:i/>
          <w:sz w:val="22"/>
          <w:szCs w:val="22"/>
        </w:rPr>
        <w:t>Jakarta: Balai Penerbit FKUI</w:t>
      </w:r>
      <w:r>
        <w:rPr>
          <w:rFonts w:hint="default" w:ascii="Garamond" w:hAnsi="Garamond" w:cs="Garamond"/>
          <w:sz w:val="22"/>
          <w:szCs w:val="22"/>
        </w:rPr>
        <w:t>, 2009, 48–49.</w:t>
      </w:r>
      <w:r>
        <w:rPr>
          <w:rFonts w:hint="default" w:ascii="Garamond" w:hAnsi="Garamond" w:cs="Garamond"/>
          <w:sz w:val="22"/>
          <w:szCs w:val="22"/>
        </w:rPr>
        <w:fldChar w:fldCharType="end"/>
      </w:r>
    </w:p>
  </w:footnote>
  <w:footnote w:id="40">
    <w:p>
      <w:pPr>
        <w:pStyle w:val="6"/>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{"citationID":"V5FjRHqE","properties":{"formattedCitation":"\\uc0\\u8220{}Penyakit Gonorrhea Pada Wanita,\\uc0\\u8221{} accessed April 2, 2017, http://www.penyakitmenularseksual.com/penyakit-gonorrhea-pada-wanita.html.","plainCitation":"“Penyakit Gonorrhea Pada Wanita,” accessed April 2, 2017, http://www.penyakitmenularseksual.com/penyakit-gonorrhea-pada-wanita.html.","noteIndex":41},"citationItems":[{"id":1834,"uris":["http://zotero.org/users/6802635/items/CJP2XX53"],"uri":["http://zotero.org/users/6802635/items/CJP2XX53"],"itemData":{"id":1834,"type":"entry-encyclopedia","title":"penyakit gonorrhea pada wanita","URL":"http://www.penyakitmenularseksual.com/penyakit-gonorrhea-pada-wanita.html","accessed":{"date-parts":[["2017",4,2]]}}}],"schema":"https://github.com/citation-style-language/schema/raw/master/csl-citation.json"}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“Penyakit Gonorrhea Pada Wanita,” accessed April 2, 2017, http://www.penyakitmenularseksual.com/penyakit-gonorrhea-pada-wanita.html.</w:t>
      </w:r>
      <w:r>
        <w:rPr>
          <w:rFonts w:hint="default" w:ascii="Garamond" w:hAnsi="Garamond" w:cs="Garamond"/>
          <w:sz w:val="22"/>
          <w:szCs w:val="22"/>
        </w:rPr>
        <w:fldChar w:fldCharType="end"/>
      </w:r>
    </w:p>
  </w:footnote>
  <w:footnote w:id="41">
    <w:p>
      <w:pPr>
        <w:pStyle w:val="6"/>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{"citationID":"js9WBgqu","properties":{"formattedCitation":"Minttu R\\uc0\\u246{}nn et al., \\uc0\\u8220{}Developing a Conceptual Framework of Seroadaptive Behaviors in HIV-Diagnosed Men Who Have Sex with Men,\\uc0\\u8221{} {\\i{}The Journal of Infectious Diseases} 210, no. suppl_2 (2014): 586.","plainCitation":"Minttu Rönn et al., “Developing a Conceptual Framework of Seroadaptive Behaviors in HIV-Diagnosed Men Who Have Sex with Men,” The Journal of Infectious Diseases 210, no. suppl_2 (2014): 586.","noteIndex":42},"citationItems":[{"id":1813,"uris":["http://zotero.org/users/6802635/items/4NB46ACV"],"uri":["http://zotero.org/users/6802635/items/4NB46ACV"],"itemData":{"id":1813,"type":"article-journal","container-title":"The Journal of infectious diseases","issue":"suppl_2","note":"publisher: Oxford University Press","page":"S586–S593","source":"Google Scholar","title":"Developing a conceptual framework of seroadaptive behaviors in HIV-diagnosed men who have sex with men","volume":"210","author":[{"family":"Rönn","given":"Minttu"},{"family":"White","given":"Peter J."},{"family":"Hughes","given":"Gwenda"},{"family":"Ward","given":"Helen"}],"issued":{"date-parts":[["2014"]]}},"locator":"586","label":"page"}],"schema":"https://github.com/citation-style-language/schema/raw/master/csl-citation.json"}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Minttu Rönn et al., “Developing a Conceptual Framework of Seroadaptive Behaviors in HIV-Diagnosed Men Who Have Sex with Men,” </w:t>
      </w:r>
      <w:r>
        <w:rPr>
          <w:rFonts w:hint="default" w:ascii="Garamond" w:hAnsi="Garamond" w:cs="Garamond"/>
          <w:i/>
          <w:sz w:val="22"/>
          <w:szCs w:val="22"/>
        </w:rPr>
        <w:t>The Journal of Infectious Diseases</w:t>
      </w:r>
      <w:r>
        <w:rPr>
          <w:rFonts w:hint="default" w:ascii="Garamond" w:hAnsi="Garamond" w:cs="Garamond"/>
          <w:sz w:val="22"/>
          <w:szCs w:val="22"/>
        </w:rPr>
        <w:t xml:space="preserve"> 210, no. suppl_2 (2014): 586.</w:t>
      </w:r>
      <w:r>
        <w:rPr>
          <w:rFonts w:hint="default" w:ascii="Garamond" w:hAnsi="Garamond" w:cs="Garamond"/>
          <w:sz w:val="22"/>
          <w:szCs w:val="22"/>
        </w:rPr>
        <w:fldChar w:fldCharType="end"/>
      </w:r>
    </w:p>
  </w:footnote>
  <w:footnote w:id="42">
    <w:p>
      <w:pPr>
        <w:pStyle w:val="6"/>
        <w:snapToGrid w:val="0"/>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{"citationID":"6WgCkXw1","properties":{"formattedCitation":"Yanggo, \\uc0\\u8220{}Penyimpangan Seksual (LGBT) Dalam Pandangan Hukum Islam,\\uc0\\u8221{} 1.","plainCitation":"Yanggo, “Penyimpangan Seksual (LGBT) Dalam Pandangan Hukum Islam,” 1.","noteIndex":43},"citationItems":[{"id":1806,"uris":["http://zotero.org/users/6802635/items/H92NJCGJ"],"uri":["http://zotero.org/users/6802635/items/H92NJCGJ"],"itemData":{"id":1806,"type":"article-journal","container-title":"MISYKAT Jurnal Ilmu-ilmu Al-Quran Hadist Syari ah dan Tarbiyah","issue":"2","page":"1–28","source":"Google Scholar","title":"Penyimpangan Seksual (LGBT) Dalam Pandangan Hukum Islam","volume":"3","author":[{"family":"Yanggo","given":"Huzaemah Tahido"}],"issued":{"date-parts":[["2018"]]}},"locator":"1"}],"schema":"https://github.com/citation-style-language/schema/raw/master/csl-citation.json"}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Yanggo, “Penyimpangan Seksual (LGBT) Dalam Pandangan Hukum Islam,” 1.</w:t>
      </w:r>
      <w:r>
        <w:rPr>
          <w:rFonts w:hint="default" w:ascii="Garamond" w:hAnsi="Garamond" w:cs="Garamond"/>
          <w:sz w:val="22"/>
          <w:szCs w:val="22"/>
        </w:rPr>
        <w:fldChar w:fldCharType="end"/>
      </w:r>
    </w:p>
  </w:footnote>
  <w:footnote w:id="43">
    <w:p>
      <w:pPr>
        <w:pStyle w:val="6"/>
        <w:snapToGrid w:val="0"/>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{"citationID":"tylS09MD","properties":{"formattedCitation":"Ibid., 11\\uc0\\u8211{}12.","plainCitation":"Ibid., 11–12.","noteIndex":44},"citationItems":[{"id":1806,"uris":["http://zotero.org/users/6802635/items/H92NJCGJ"],"uri":["http://zotero.org/users/6802635/items/H92NJCGJ"],"itemData":{"id":1806,"type":"article-journal","container-title":"MISYKAT Jurnal Ilmu-ilmu Al-Quran Hadist Syari ah dan Tarbiyah","issue":"2","page":"1–28","source":"Google Scholar","title":"Penyimpangan Seksual (LGBT) Dalam Pandangan Hukum Islam","volume":"3","author":[{"family":"Yanggo","given":"Huzaemah Tahido"}],"issued":{"date-parts":[["2018"]]}},"locator":"11-12"}],"schema":"https://github.com/citation-style-language/schema/raw/master/csl-citation.json"}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Ibid., 11–12.</w:t>
      </w:r>
      <w:r>
        <w:rPr>
          <w:rFonts w:hint="default" w:ascii="Garamond" w:hAnsi="Garamond" w:cs="Garamond"/>
          <w:sz w:val="22"/>
          <w:szCs w:val="22"/>
        </w:rPr>
        <w:fldChar w:fldCharType="end"/>
      </w:r>
    </w:p>
  </w:footnote>
  <w:footnote w:id="44">
    <w:p>
      <w:pPr>
        <w:pStyle w:val="6"/>
        <w:spacing w:beforeLines="0" w:afterLines="0"/>
        <w:ind w:firstLine="720"/>
        <w:jc w:val="both"/>
        <w:rPr>
          <w:rFonts w:hint="default" w:ascii="Garamond" w:hAnsi="Garamond" w:cs="Garamond"/>
          <w:sz w:val="22"/>
          <w:szCs w:val="22"/>
        </w:rPr>
      </w:pPr>
      <w:r>
        <w:rPr>
          <w:rStyle w:val="11"/>
          <w:rFonts w:hint="default" w:ascii="Garamond" w:hAnsi="Garamond" w:eastAsia="SimSun" w:cs="Garamond"/>
          <w:sz w:val="22"/>
          <w:szCs w:val="22"/>
        </w:rPr>
        <w:footnoteRef/>
      </w:r>
      <w:r>
        <w:rPr>
          <w:rFonts w:hint="default" w:ascii="Garamond" w:hAnsi="Garamond" w:cs="Garamond"/>
          <w:sz w:val="22"/>
          <w:szCs w:val="22"/>
        </w:rPr>
        <w:t xml:space="preserve"> </w:t>
      </w:r>
      <w:bookmarkStart w:id="0" w:name="_Hlk93783425"/>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{"citationID":"vIehUFoT","properties":{"formattedCitation":"Donny Khoirul Azis et al., \\uc0\\u8220{}Pancasila Educational Values in Indicators Religious Moderation in Indonesia,\\uc0\\u8221{} {\\i{}FITRAH: Jurnal Kajian Ilmu-Ilmu Keislaman} 7, no. 2 (2021): 231.","plainCitation":"Donny Khoirul Azis et al., “Pancasila Educational Values in Indicators Religious Moderation in Indonesia,” FITRAH: Jurnal Kajian Ilmu-Ilmu Keislaman 7, no. 2 (2021): 231.","noteIndex":45},"citationItems":[{"id":1515,"uris":["http://zotero.org/users/6802635/items/L58B9CAF"],"uri":["http://zotero.org/users/6802635/items/L58B9CAF"],"itemData":{"id":1515,"type":"article-journal","container-title":"FITRAH: Jurnal Kajian Ilmu-ilmu Keislaman","issue":"2","page":"229–244","source":"Google Scholar","title":"Pancasila Educational Values in Indicators Religious Moderation in Indonesia","volume":"7","author":[{"family":"Azis","given":"Donny Khoirul"},{"family":"Saihu","given":"Made"},{"family":"Hsb","given":"Akmal Rizki Gunawan"},{"family":"Islamy","given":"Athoillah"}],"issued":{"date-parts":[["2021"]]}},"locator":"231"}],"schema":"https://github.com/citation-style-language/schema/raw/master/csl-citation.json"}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Donny Khoirul Azis et al., “Pancasila Educational Values in Indicators Religious Moderation in Indonesia,” </w:t>
      </w:r>
      <w:r>
        <w:rPr>
          <w:rFonts w:hint="default" w:ascii="Garamond" w:hAnsi="Garamond" w:cs="Garamond"/>
          <w:i/>
          <w:sz w:val="22"/>
          <w:szCs w:val="22"/>
        </w:rPr>
        <w:t>FITRAH: Jurnal Kajian Ilmu-Ilmu Keislaman</w:t>
      </w:r>
      <w:r>
        <w:rPr>
          <w:rFonts w:hint="default" w:ascii="Garamond" w:hAnsi="Garamond" w:cs="Garamond"/>
          <w:sz w:val="22"/>
          <w:szCs w:val="22"/>
        </w:rPr>
        <w:t xml:space="preserve"> 7, no. 2 (2021): 231.</w:t>
      </w:r>
      <w:r>
        <w:rPr>
          <w:rFonts w:hint="default" w:ascii="Garamond" w:hAnsi="Garamond" w:cs="Garamond"/>
          <w:sz w:val="22"/>
          <w:szCs w:val="22"/>
        </w:rPr>
        <w:fldChar w:fldCharType="end"/>
      </w:r>
      <w:bookmarkEnd w:id="0"/>
    </w:p>
  </w:footnote>
  <w:footnote w:id="45">
    <w:p>
      <w:pPr>
        <w:pStyle w:val="6"/>
        <w:snapToGrid w:val="0"/>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{"citationID":"UV2CzYgj","properties":{"formattedCitation":"Eko Siswanto and Athoillah Islamy, \\uc0\\u8220{}Meninjau Ulang Polemik Formalisasi Hukum Islam Di Indonesia Perspektif Demokrasi Pancasila: Analisis SWOT,\\uc0\\u8221{} {\\i{}MIYAH: Jurnal Studi Islam} 18, no. 1 (2022): 28.","plainCitation":"Eko Siswanto and Athoillah Islamy, “Meninjau Ulang Polemik Formalisasi Hukum Islam Di Indonesia Perspektif Demokrasi Pancasila: Analisis SWOT,” MIYAH: Jurnal Studi Islam 18, no. 1 (2022): 28.","noteIndex":46},"citationItems":[{"id":1798,"uris":["http://zotero.org/users/6802635/items/VJMFVVRF"],"uri":["http://zotero.org/users/6802635/items/VJMFVVRF"],"itemData":{"id":1798,"type":"article-journal","container-title":"MIYAH: Jurnal Studi Islam","issue":"1","page":"19–40","source":"Google Scholar","title":"Meninjau Ulang Polemik Formalisasi Hukum Islam di Indonesia Perspektif Demokrasi Pancasila: Analisis SWOT","title-short":"Meninjau Ulang Polemik Formalisasi Hukum Islam di Indonesia Perspektif Demokrasi Pancasila","volume":"18","author":[{"family":"Siswanto","given":"Eko"},{"family":"Islamy","given":"Athoillah"}],"issued":{"date-parts":[["2022"]]}},"locator":"28"}],"schema":"https://github.com/citation-style-language/schema/raw/master/csl-citation.json"}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 xml:space="preserve">Eko Siswanto and Athoillah Islamy, “Meninjau Ulang Polemik Formalisasi Hukum Islam Di Indonesia Perspektif Demokrasi Pancasila: Analisis SWOT,” </w:t>
      </w:r>
      <w:r>
        <w:rPr>
          <w:rFonts w:hint="default" w:ascii="Garamond" w:hAnsi="Garamond" w:cs="Garamond"/>
          <w:i/>
          <w:sz w:val="22"/>
          <w:szCs w:val="22"/>
        </w:rPr>
        <w:t>MIYAH: Jurnal Studi Islam</w:t>
      </w:r>
      <w:r>
        <w:rPr>
          <w:rFonts w:hint="default" w:ascii="Garamond" w:hAnsi="Garamond" w:cs="Garamond"/>
          <w:sz w:val="22"/>
          <w:szCs w:val="22"/>
        </w:rPr>
        <w:t xml:space="preserve"> 18, no. 1 (2022): 28.</w:t>
      </w:r>
      <w:r>
        <w:rPr>
          <w:rFonts w:hint="default" w:ascii="Garamond" w:hAnsi="Garamond" w:cs="Garamond"/>
          <w:sz w:val="22"/>
          <w:szCs w:val="22"/>
        </w:rPr>
        <w:fldChar w:fldCharType="end"/>
      </w:r>
    </w:p>
  </w:footnote>
  <w:footnote w:id="46">
    <w:p>
      <w:pPr>
        <w:pStyle w:val="6"/>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lang w:val="id-ID"/>
        </w:rPr>
        <w:t xml:space="preserve"> </w:t>
      </w:r>
      <w:r>
        <w:rPr>
          <w:rFonts w:hint="default" w:ascii="Garamond" w:hAnsi="Garamond" w:cs="Garamond"/>
          <w:sz w:val="22"/>
          <w:szCs w:val="22"/>
          <w:lang w:val="id-ID"/>
        </w:rPr>
        <w:fldChar w:fldCharType="begin"/>
      </w:r>
      <w:r>
        <w:rPr>
          <w:rFonts w:hint="default" w:ascii="Garamond" w:hAnsi="Garamond" w:cs="Garamond"/>
          <w:sz w:val="22"/>
          <w:szCs w:val="22"/>
          <w:lang w:val="id-ID"/>
        </w:rPr>
        <w:instrText xml:space="preserve"> ADDIN ZOTERO_ITEM CSL_CITATION {"citationID":"CX4XdsRF","properties":{"formattedCitation":"Izzzuddin Abdussalam, {\\i{}Al-Qawaid Al-Kubra: Qawaid Al-Ahkam Fi Islah Al-Anam} (Damaskus: Dar Al-Qalam, 2000), 11.","plainCitation":"Izzzuddin Abdussalam, Al-Qawaid Al-Kubra: Qawaid Al-Ahkam Fi Islah Al-Anam (Damaskus: Dar Al-Qalam, 2000), 11.","noteIndex":47},"citationItems":[{"id":1809,"uris":["http://zotero.org/users/6802635/items/IDFW9EKM"],"uri":["http://zotero.org/users/6802635/items/IDFW9EKM"],"itemData":{"id":1809,"type":"book","event-place":"Damaskus","publisher":"Dar Al-Qalam","publisher-place":"Damaskus","title":"Al-Qawaid Al-Kubra: Qawaid Al-Ahkam fi Islah Al-Anam","author":[{"family":"Abdussalam","given":"Izzzuddin"}],"issued":{"date-parts":[["2000"]]}},"locator":"11"}],"schema":"https://github.com/citation-style-language/schema/raw/master/csl-citation.json"} </w:instrText>
      </w:r>
      <w:r>
        <w:rPr>
          <w:rFonts w:hint="default" w:ascii="Garamond" w:hAnsi="Garamond" w:cs="Garamond"/>
          <w:sz w:val="22"/>
          <w:szCs w:val="22"/>
          <w:lang w:val="id-ID"/>
        </w:rPr>
        <w:fldChar w:fldCharType="separate"/>
      </w:r>
      <w:r>
        <w:rPr>
          <w:rFonts w:hint="default" w:ascii="Garamond" w:hAnsi="Garamond" w:cs="Garamond"/>
          <w:sz w:val="22"/>
          <w:szCs w:val="22"/>
        </w:rPr>
        <w:t xml:space="preserve">Izzzuddin Abdussalam, </w:t>
      </w:r>
      <w:r>
        <w:rPr>
          <w:rFonts w:hint="default" w:ascii="Garamond" w:hAnsi="Garamond" w:cs="Garamond"/>
          <w:i/>
          <w:sz w:val="22"/>
          <w:szCs w:val="22"/>
        </w:rPr>
        <w:t>Al-Qawaid Al-Kubra: Qawaid Al-Ahkam Fi Islah Al-Anam</w:t>
      </w:r>
      <w:r>
        <w:rPr>
          <w:rFonts w:hint="default" w:ascii="Garamond" w:hAnsi="Garamond" w:cs="Garamond"/>
          <w:sz w:val="22"/>
          <w:szCs w:val="22"/>
        </w:rPr>
        <w:t xml:space="preserve"> (Damaskus: Dar Al-Qalam, 2000), 11.</w:t>
      </w:r>
      <w:r>
        <w:rPr>
          <w:rFonts w:hint="default" w:ascii="Garamond" w:hAnsi="Garamond" w:cs="Garamond"/>
          <w:sz w:val="22"/>
          <w:szCs w:val="22"/>
        </w:rPr>
        <w:fldChar w:fldCharType="end"/>
      </w:r>
    </w:p>
  </w:footnote>
  <w:footnote w:id="47">
    <w:p>
      <w:pPr>
        <w:pStyle w:val="6"/>
        <w:spacing w:beforeLines="0" w:afterLines="0" w:line="240" w:lineRule="auto"/>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lang w:val="id-ID"/>
        </w:rPr>
        <w:t xml:space="preserve"> </w:t>
      </w:r>
      <w:r>
        <w:rPr>
          <w:rFonts w:hint="default" w:ascii="Garamond" w:hAnsi="Garamond" w:cs="Garamond"/>
          <w:sz w:val="22"/>
          <w:szCs w:val="22"/>
          <w:lang w:val="id-ID"/>
        </w:rPr>
        <w:fldChar w:fldCharType="begin"/>
      </w:r>
      <w:r>
        <w:rPr>
          <w:rFonts w:hint="default" w:ascii="Garamond" w:hAnsi="Garamond" w:cs="Garamond"/>
          <w:sz w:val="22"/>
          <w:szCs w:val="22"/>
          <w:lang w:val="id-ID"/>
        </w:rPr>
        <w:instrText xml:space="preserve"> ADDIN ZOTERO_ITEM CSL_CITATION {"citationID":"HH1loD3C","properties":{"formattedCitation":"Al-Shatibi, {\\i{}Al-Muwafaqat Fi Usul al-Shari\\uc0\\u8217{}ah}, vol. 2, n.d., 8.","plainCitation":"Al-Shatibi, Al-Muwafaqat Fi Usul al-Shari’ah, vol. 2, n.d., 8.","noteIndex":48},"citationItems":[{"id":1784,"uris":["http://zotero.org/users/6802635/items/G26AVVG7"],"uri":["http://zotero.org/users/6802635/items/G26AVVG7"],"itemData":{"id":1784,"type":"book","title":"al-Muwafaqat fi usul al-Shari’ah","volume":"2","author":[{"family":"Al-Shatibi","given":""}]},"locator":"8"}],"schema":"https://github.com/citation-style-language/schema/raw/master/csl-citation.json"} </w:instrText>
      </w:r>
      <w:r>
        <w:rPr>
          <w:rFonts w:hint="default" w:ascii="Garamond" w:hAnsi="Garamond" w:cs="Garamond"/>
          <w:sz w:val="22"/>
          <w:szCs w:val="22"/>
          <w:lang w:val="id-ID"/>
        </w:rPr>
        <w:fldChar w:fldCharType="separate"/>
      </w:r>
      <w:r>
        <w:rPr>
          <w:rFonts w:hint="default" w:ascii="Garamond" w:hAnsi="Garamond" w:cs="Garamond"/>
          <w:sz w:val="22"/>
          <w:szCs w:val="22"/>
        </w:rPr>
        <w:t xml:space="preserve">Al-Shatibi, </w:t>
      </w:r>
      <w:r>
        <w:rPr>
          <w:rFonts w:hint="default" w:ascii="Garamond" w:hAnsi="Garamond" w:cs="Garamond"/>
          <w:i/>
          <w:sz w:val="22"/>
          <w:szCs w:val="22"/>
        </w:rPr>
        <w:t>Al-Muwafaqat Fi Usul al-Shari’ah</w:t>
      </w:r>
      <w:r>
        <w:rPr>
          <w:rFonts w:hint="default" w:ascii="Garamond" w:hAnsi="Garamond" w:cs="Garamond"/>
          <w:sz w:val="22"/>
          <w:szCs w:val="22"/>
        </w:rPr>
        <w:t>, vol. 2, n.d., 8.</w:t>
      </w:r>
      <w:r>
        <w:rPr>
          <w:rFonts w:hint="default" w:ascii="Garamond" w:hAnsi="Garamond" w:cs="Garamond"/>
          <w:sz w:val="22"/>
          <w:szCs w:val="22"/>
        </w:rPr>
        <w:fldChar w:fldCharType="end"/>
      </w:r>
      <w:r>
        <w:rPr>
          <w:rStyle w:val="13"/>
          <w:rFonts w:hint="default" w:ascii="Garamond" w:hAnsi="Garamond" w:eastAsia="SimSun" w:cs="Garamond"/>
          <w:sz w:val="22"/>
          <w:szCs w:val="22"/>
          <w:shd w:val="clear" w:color="auto" w:fill="FFFFFF"/>
          <w:lang w:val="id-ID"/>
        </w:rPr>
        <w:t> </w:t>
      </w:r>
    </w:p>
  </w:footnote>
  <w:footnote w:id="48">
    <w:p>
      <w:pPr>
        <w:pStyle w:val="6"/>
        <w:snapToGrid w:val="0"/>
        <w:spacing w:beforeLines="0" w:afterLines="0"/>
        <w:ind w:firstLine="720"/>
        <w:jc w:val="both"/>
        <w:rPr>
          <w:rFonts w:hint="default" w:ascii="Garamond" w:hAnsi="Garamond" w:cs="Garamond"/>
          <w:sz w:val="22"/>
          <w:szCs w:val="22"/>
        </w:rPr>
      </w:pPr>
      <w:r>
        <w:rPr>
          <w:rFonts w:hint="default" w:ascii="Garamond" w:hAnsi="Garamond" w:eastAsia="SimSun" w:cs="Garamond"/>
          <w:sz w:val="22"/>
          <w:szCs w:val="22"/>
          <w:vertAlign w:val="superscript"/>
        </w:rPr>
        <w:footnoteRef/>
      </w:r>
      <w:r>
        <w:rPr>
          <w:rFonts w:hint="default" w:ascii="Garamond" w:hAnsi="Garamond" w:cs="Garamond"/>
          <w:sz w:val="22"/>
          <w:szCs w:val="22"/>
        </w:rPr>
        <w:t xml:space="preserve"> </w:t>
      </w:r>
      <w:r>
        <w:rPr>
          <w:rFonts w:hint="default" w:ascii="Garamond" w:hAnsi="Garamond" w:cs="Garamond"/>
          <w:sz w:val="22"/>
          <w:szCs w:val="22"/>
        </w:rPr>
        <w:fldChar w:fldCharType="begin"/>
      </w:r>
      <w:r>
        <w:rPr>
          <w:rFonts w:hint="default" w:ascii="Garamond" w:hAnsi="Garamond" w:cs="Garamond"/>
          <w:sz w:val="22"/>
          <w:szCs w:val="22"/>
        </w:rPr>
        <w:instrText xml:space="preserve"> ADDIN ZOTERO_ITEM CSL_CITATION {"citationID":"cqlxbQaE","properties":{"formattedCitation":"Yanggo, \\uc0\\u8220{}Penyimpangan Seksual (LGBT) Dalam Pandangan Hukum Islam,\\uc0\\u8221{} 25\\uc0\\u8211{}27.","plainCitation":"Yanggo, “Penyimpangan Seksual (LGBT) Dalam Pandangan Hukum Islam,” 25–27.","noteIndex":49},"citationItems":[{"id":1806,"uris":["http://zotero.org/users/6802635/items/H92NJCGJ"],"uri":["http://zotero.org/users/6802635/items/H92NJCGJ"],"itemData":{"id":1806,"type":"article-journal","container-title":"MISYKAT Jurnal Ilmu-ilmu Al-Quran Hadist Syari ah dan Tarbiyah","issue":"2","page":"1–28","source":"Google Scholar","title":"Penyimpangan Seksual (LGBT) Dalam Pandangan Hukum Islam","volume":"3","author":[{"family":"Yanggo","given":"Huzaemah Tahido"}],"issued":{"date-parts":[["2018"]]}},"locator":"25-27"}],"schema":"https://github.com/citation-style-language/schema/raw/master/csl-citation.json"} </w:instrText>
      </w:r>
      <w:r>
        <w:rPr>
          <w:rFonts w:hint="default" w:ascii="Garamond" w:hAnsi="Garamond" w:cs="Garamond"/>
          <w:sz w:val="22"/>
          <w:szCs w:val="22"/>
        </w:rPr>
        <w:fldChar w:fldCharType="separate"/>
      </w:r>
      <w:r>
        <w:rPr>
          <w:rFonts w:hint="default" w:ascii="Garamond" w:hAnsi="Garamond" w:cs="Garamond"/>
          <w:sz w:val="22"/>
          <w:szCs w:val="22"/>
        </w:rPr>
        <w:t>Yanggo, “Penyimpangan Seksual (LGBT) Dalam Pandangan Hukum Islam,” 25–27.</w:t>
      </w:r>
      <w:r>
        <w:rPr>
          <w:rFonts w:hint="default" w:ascii="Garamond" w:hAnsi="Garamond" w:cs="Garamond"/>
          <w:sz w:val="22"/>
          <w:szCs w:val="22"/>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column">
                <wp:posOffset>522605</wp:posOffset>
              </wp:positionH>
              <wp:positionV relativeFrom="paragraph">
                <wp:posOffset>122555</wp:posOffset>
              </wp:positionV>
              <wp:extent cx="3709670" cy="277495"/>
              <wp:effectExtent l="0" t="0" r="5080" b="8255"/>
              <wp:wrapNone/>
              <wp:docPr id="5" name="Text Box 5"/>
              <wp:cNvGraphicFramePr/>
              <a:graphic xmlns:a="http://schemas.openxmlformats.org/drawingml/2006/main">
                <a:graphicData uri="http://schemas.microsoft.com/office/word/2010/wordprocessingShape">
                  <wps:wsp>
                    <wps:cNvSpPr txBox="1"/>
                    <wps:spPr>
                      <a:xfrm>
                        <a:off x="0" y="0"/>
                        <a:ext cx="3709670" cy="277495"/>
                      </a:xfrm>
                      <a:prstGeom prst="rect">
                        <a:avLst/>
                      </a:prstGeom>
                      <a:solidFill>
                        <a:srgbClr val="FFFFFF"/>
                      </a:solidFill>
                      <a:ln>
                        <a:noFill/>
                      </a:ln>
                    </wps:spPr>
                    <wps:txbx>
                      <w:txbxContent>
                        <w:p>
                          <w:pPr>
                            <w:jc w:val="right"/>
                            <w:rPr>
                              <w:rFonts w:ascii="Californian FB" w:hAnsi="Californian FB" w:cs="Garamond"/>
                              <w:sz w:val="8"/>
                              <w:szCs w:val="8"/>
                              <w:lang w:eastAsia="ms-MY"/>
                            </w:rPr>
                          </w:pPr>
                          <w:r>
                            <w:rPr>
                              <w:rFonts w:hint="default" w:ascii="Garamond" w:hAnsi="Garamond"/>
                              <w:sz w:val="16"/>
                              <w:szCs w:val="16"/>
                              <w:lang w:val="en-US"/>
                            </w:rPr>
                            <w:t xml:space="preserve">Kontestasi Pemikiran Hukum Islam </w:t>
                          </w:r>
                        </w:p>
                      </w:txbxContent>
                    </wps:txbx>
                    <wps:bodyPr upright="1"/>
                  </wps:wsp>
                </a:graphicData>
              </a:graphic>
            </wp:anchor>
          </w:drawing>
        </mc:Choice>
        <mc:Fallback>
          <w:pict>
            <v:shape id="_x0000_s1026" o:spid="_x0000_s1026" o:spt="202" type="#_x0000_t202" style="position:absolute;left:0pt;margin-left:41.15pt;margin-top:9.65pt;height:21.85pt;width:292.1pt;z-index:251661312;mso-width-relative:page;mso-height-relative:page;" fillcolor="#FFFFFF" filled="t" stroked="f" coordsize="21600,21600" o:gfxdata="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T6&#10;QF3WAAAACAEAAA8AAAAAAAAAAQAgAAAAIgAAAGRycy9kb3ducmV2LnhtbFBLAQIUABQAAAAIAIdO&#10;4kDQsdXGswEAAHYDAAAOAAAAAAAAAAEAIAAAACUBAABkcnMvZTJvRG9jLnhtbFBLBQYAAAAABgAG&#10;AFkBAABKBQAAAAA=&#10;">
              <v:fill on="t" focussize="0,0"/>
              <v:stroke on="f"/>
              <v:imagedata o:title=""/>
              <o:lock v:ext="edit" aspectratio="f"/>
              <v:textbox>
                <w:txbxContent>
                  <w:p>
                    <w:pPr>
                      <w:jc w:val="right"/>
                      <w:rPr>
                        <w:rFonts w:ascii="Californian FB" w:hAnsi="Californian FB" w:cs="Garamond"/>
                        <w:sz w:val="8"/>
                        <w:szCs w:val="8"/>
                        <w:lang w:eastAsia="ms-MY"/>
                      </w:rPr>
                    </w:pPr>
                    <w:r>
                      <w:rPr>
                        <w:rFonts w:hint="default" w:ascii="Garamond" w:hAnsi="Garamond"/>
                        <w:sz w:val="16"/>
                        <w:szCs w:val="16"/>
                        <w:lang w:val="en-US"/>
                      </w:rPr>
                      <w:t xml:space="preserve">Kontestasi Pemikiran Hukum Islam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131445</wp:posOffset>
              </wp:positionV>
              <wp:extent cx="2400300" cy="277495"/>
              <wp:effectExtent l="0" t="0" r="0" b="8255"/>
              <wp:wrapNone/>
              <wp:docPr id="4" name="Text Box 4"/>
              <wp:cNvGraphicFramePr/>
              <a:graphic xmlns:a="http://schemas.openxmlformats.org/drawingml/2006/main">
                <a:graphicData uri="http://schemas.microsoft.com/office/word/2010/wordprocessingShape">
                  <wps:wsp>
                    <wps:cNvSpPr txBox="1"/>
                    <wps:spPr>
                      <a:xfrm>
                        <a:off x="0" y="0"/>
                        <a:ext cx="2400300" cy="277495"/>
                      </a:xfrm>
                      <a:prstGeom prst="rect">
                        <a:avLst/>
                      </a:prstGeom>
                      <a:solidFill>
                        <a:srgbClr val="FFFFFF"/>
                      </a:solidFill>
                      <a:ln>
                        <a:noFill/>
                      </a:ln>
                    </wps:spPr>
                    <wps:txbx>
                      <w:txbxContent>
                        <w:p>
                          <w:pPr>
                            <w:rPr>
                              <w:rFonts w:hint="default" w:ascii="Californian FB" w:hAnsi="Californian FB" w:cs="Garamond"/>
                              <w:sz w:val="16"/>
                              <w:szCs w:val="16"/>
                              <w:lang w:val="en-US" w:eastAsia="ms-MY"/>
                            </w:rPr>
                          </w:pPr>
                          <w:r>
                            <w:rPr>
                              <w:rFonts w:hint="default" w:ascii="Californian FB" w:hAnsi="Californian FB" w:cs="Garamond"/>
                              <w:sz w:val="16"/>
                              <w:szCs w:val="16"/>
                              <w:lang w:val="en-US" w:eastAsia="ms-MY"/>
                            </w:rPr>
                            <w:t>Zulfa Hudiyani, Athoillah Islamy</w:t>
                          </w:r>
                        </w:p>
                      </w:txbxContent>
                    </wps:txbx>
                    <wps:bodyPr upright="1"/>
                  </wps:wsp>
                </a:graphicData>
              </a:graphic>
            </wp:anchor>
          </w:drawing>
        </mc:Choice>
        <mc:Fallback>
          <w:pict>
            <v:shape id="_x0000_s1026" o:spid="_x0000_s1026" o:spt="202" type="#_x0000_t202" style="position:absolute;left:0pt;margin-left:-7.65pt;margin-top:10.35pt;height:21.85pt;width:189pt;z-index:251659264;mso-width-relative:page;mso-height-relative:page;" fillcolor="#FFFFFF" filled="t" stroked="f" coordsize="21600,21600" o:gfxdata="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mmn&#10;8tgAAAAJAQAADwAAAAAAAAABACAAAAAiAAAAZHJzL2Rvd25yZXYueG1sUEsBAhQAFAAAAAgAh07i&#10;QLpLpwiwAQAAdgMAAA4AAAAAAAAAAQAgAAAAJwEAAGRycy9lMm9Eb2MueG1sUEsFBgAAAAAGAAYA&#10;WQEAAEkFAAAAAA==&#10;">
              <v:fill on="t" focussize="0,0"/>
              <v:stroke on="f"/>
              <v:imagedata o:title=""/>
              <o:lock v:ext="edit" aspectratio="f"/>
              <v:textbox>
                <w:txbxContent>
                  <w:p>
                    <w:pPr>
                      <w:rPr>
                        <w:rFonts w:hint="default" w:ascii="Californian FB" w:hAnsi="Californian FB" w:cs="Garamond"/>
                        <w:sz w:val="16"/>
                        <w:szCs w:val="16"/>
                        <w:lang w:val="en-US" w:eastAsia="ms-MY"/>
                      </w:rPr>
                    </w:pPr>
                    <w:r>
                      <w:rPr>
                        <w:rFonts w:hint="default" w:ascii="Californian FB" w:hAnsi="Californian FB" w:cs="Garamond"/>
                        <w:sz w:val="16"/>
                        <w:szCs w:val="16"/>
                        <w:lang w:val="en-US" w:eastAsia="ms-MY"/>
                      </w:rPr>
                      <w:t>Zulfa Hudiyani, Athoillah Islamy</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16C0F"/>
    <w:multiLevelType w:val="singleLevel"/>
    <w:tmpl w:val="A5B16C0F"/>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98"/>
    <w:footnote w:id="99"/>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026"/>
    <w:rsid w:val="000C29E1"/>
    <w:rsid w:val="001550BA"/>
    <w:rsid w:val="00166B48"/>
    <w:rsid w:val="002D3B20"/>
    <w:rsid w:val="002E5F11"/>
    <w:rsid w:val="0046384E"/>
    <w:rsid w:val="00553FFF"/>
    <w:rsid w:val="0056455F"/>
    <w:rsid w:val="00600290"/>
    <w:rsid w:val="00615026"/>
    <w:rsid w:val="00677493"/>
    <w:rsid w:val="006B2D84"/>
    <w:rsid w:val="006C617F"/>
    <w:rsid w:val="00707627"/>
    <w:rsid w:val="007453E9"/>
    <w:rsid w:val="00864C08"/>
    <w:rsid w:val="008C50FA"/>
    <w:rsid w:val="00A204D1"/>
    <w:rsid w:val="00A30889"/>
    <w:rsid w:val="00A61665"/>
    <w:rsid w:val="00BC5098"/>
    <w:rsid w:val="00D27C77"/>
    <w:rsid w:val="00EE101D"/>
    <w:rsid w:val="00FF5AC7"/>
    <w:rsid w:val="214D208C"/>
    <w:rsid w:val="2AB873F5"/>
    <w:rsid w:val="326F2918"/>
    <w:rsid w:val="33E23A74"/>
    <w:rsid w:val="3B1B547A"/>
    <w:rsid w:val="3D2A77FB"/>
    <w:rsid w:val="480B785D"/>
    <w:rsid w:val="6B3D1FD4"/>
    <w:rsid w:val="745C29B5"/>
    <w:rsid w:val="77717FB6"/>
    <w:rsid w:val="77D67CDA"/>
    <w:rsid w:val="79E36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pPr>
  </w:style>
  <w:style w:type="character" w:styleId="5">
    <w:name w:val="footnote reference"/>
    <w:basedOn w:val="2"/>
    <w:semiHidden/>
    <w:unhideWhenUsed/>
    <w:qFormat/>
    <w:uiPriority w:val="99"/>
    <w:rPr>
      <w:vertAlign w:val="superscript"/>
    </w:rPr>
  </w:style>
  <w:style w:type="paragraph" w:styleId="6">
    <w:name w:val="footnote text"/>
    <w:basedOn w:val="1"/>
    <w:link w:val="10"/>
    <w:semiHidden/>
    <w:unhideWhenUsed/>
    <w:qFormat/>
    <w:uiPriority w:val="99"/>
    <w:pPr>
      <w:spacing w:after="0" w:line="240" w:lineRule="auto"/>
    </w:pPr>
    <w:rPr>
      <w:sz w:val="20"/>
      <w:szCs w:val="20"/>
    </w:rPr>
  </w:style>
  <w:style w:type="paragraph" w:styleId="7">
    <w:name w:val="header"/>
    <w:basedOn w:val="1"/>
    <w:unhideWhenUsed/>
    <w:qFormat/>
    <w:uiPriority w:val="99"/>
    <w:pPr>
      <w:tabs>
        <w:tab w:val="center" w:pos="4680"/>
        <w:tab w:val="right" w:pos="9360"/>
      </w:tabs>
    </w:pPr>
  </w:style>
  <w:style w:type="paragraph" w:styleId="8">
    <w:name w:val="Normal (Web)"/>
    <w:basedOn w:val="1"/>
    <w:unhideWhenUsed/>
    <w:qFormat/>
    <w:uiPriority w:val="99"/>
    <w:pPr>
      <w:spacing w:before="100" w:beforeAutospacing="1" w:after="100" w:afterAutospacing="1"/>
    </w:pPr>
    <w:rPr>
      <w:rFonts w:eastAsia="SimSun"/>
    </w:rPr>
  </w:style>
  <w:style w:type="character" w:styleId="9">
    <w:name w:val="page number"/>
    <w:qFormat/>
    <w:uiPriority w:val="99"/>
    <w:rPr>
      <w:rFonts w:cs="Times New Roman"/>
    </w:rPr>
  </w:style>
  <w:style w:type="character" w:customStyle="1" w:styleId="10">
    <w:name w:val="Footnote Text Char"/>
    <w:basedOn w:val="2"/>
    <w:link w:val="6"/>
    <w:semiHidden/>
    <w:qFormat/>
    <w:uiPriority w:val="99"/>
    <w:rPr>
      <w:sz w:val="20"/>
      <w:szCs w:val="20"/>
    </w:rPr>
  </w:style>
  <w:style w:type="character" w:customStyle="1" w:styleId="11">
    <w:name w:val="footnote reference"/>
    <w:basedOn w:val="2"/>
    <w:unhideWhenUsed/>
    <w:qFormat/>
    <w:uiPriority w:val="99"/>
    <w:rPr>
      <w:rFonts w:hint="default" w:cs="Times New Roman"/>
      <w:sz w:val="24"/>
      <w:szCs w:val="24"/>
      <w:vertAlign w:val="superscript"/>
    </w:rPr>
  </w:style>
  <w:style w:type="paragraph" w:customStyle="1" w:styleId="12">
    <w:name w:val="_Style 4"/>
    <w:basedOn w:val="1"/>
    <w:next w:val="1"/>
    <w:unhideWhenUsed/>
    <w:qFormat/>
    <w:uiPriority w:val="37"/>
    <w:pPr>
      <w:ind w:left="720" w:hanging="720"/>
    </w:pPr>
  </w:style>
  <w:style w:type="character" w:customStyle="1" w:styleId="13">
    <w:name w:val="apple-converted-space"/>
    <w:basedOn w:val="2"/>
    <w:unhideWhenUsed/>
    <w:qFormat/>
    <w:uiPriority w:val="0"/>
    <w:rPr>
      <w:rFonts w:hint="default"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79822-1567-4187-A248-B75D9EAE463D}">
  <ds:schemaRefs/>
</ds:datastoreItem>
</file>

<file path=docProps/app.xml><?xml version="1.0" encoding="utf-8"?>
<Properties xmlns="http://schemas.openxmlformats.org/officeDocument/2006/extended-properties" xmlns:vt="http://schemas.openxmlformats.org/officeDocument/2006/docPropsVTypes">
  <Template>Normal</Template>
  <Pages>2</Pages>
  <Words>620</Words>
  <Characters>3534</Characters>
  <Lines>29</Lines>
  <Paragraphs>8</Paragraphs>
  <TotalTime>1</TotalTime>
  <ScaleCrop>false</ScaleCrop>
  <LinksUpToDate>false</LinksUpToDate>
  <CharactersWithSpaces>4146</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2022-02-21T10:35:00Z</dcterms:created>
  <dc:creator>user</dc:creator>
  <cp:lastModifiedBy>LENOVO</cp:lastModifiedBy>
  <dcterms:modified xsi:type="dcterms:W3CDTF">2022-03-03T12:28:53Z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33BB0523057544EDA8C28CCF8D2F131D</vt:lpwstr>
  </property>
</Properties>
</file>